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p14">
  <w:body>
    <w:p w:rsidR="00BC6B0A" w:rsidP="00BC6B0A" w:rsidRDefault="009B5239" w14:paraId="54E21EE6" w14:textId="0DFCA6D6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03684DCE" wp14:editId="1DCC2B3A">
            <wp:simplePos x="0" y="0"/>
            <wp:positionH relativeFrom="column">
              <wp:posOffset>4970390</wp:posOffset>
            </wp:positionH>
            <wp:positionV relativeFrom="paragraph">
              <wp:posOffset>-80597</wp:posOffset>
            </wp:positionV>
            <wp:extent cx="491490" cy="596032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96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E70" w:rsidR="00BC6B0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71A68E" wp14:editId="39138296">
            <wp:simplePos x="0" y="0"/>
            <wp:positionH relativeFrom="margin">
              <wp:posOffset>-62230</wp:posOffset>
            </wp:positionH>
            <wp:positionV relativeFrom="paragraph">
              <wp:posOffset>-83185</wp:posOffset>
            </wp:positionV>
            <wp:extent cx="773430" cy="603250"/>
            <wp:effectExtent l="0" t="0" r="0" b="6350"/>
            <wp:wrapNone/>
            <wp:docPr id="12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7734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0A">
        <w:rPr>
          <w:b w:val="1"/>
          <w:bCs w:val="1"/>
          <w:sz w:val="28"/>
          <w:szCs w:val="28"/>
          <w:lang w:val="en-US"/>
        </w:rPr>
        <w:t>Cariboo-Chilcotin School District</w:t>
      </w:r>
    </w:p>
    <w:p w:rsidRPr="00947B17" w:rsidR="00BE27C5" w:rsidP="00BC6B0A" w:rsidRDefault="00332393" w14:paraId="7B151314" w14:textId="2FEF64D9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 xml:space="preserve">2020-2021 </w:t>
      </w:r>
      <w:r w:rsidR="00B14D8B">
        <w:rPr>
          <w:b/>
          <w:bCs/>
          <w:sz w:val="28"/>
          <w:szCs w:val="28"/>
          <w:lang w:val="en-US"/>
        </w:rPr>
        <w:t>School Plan for Learner Success</w:t>
      </w:r>
    </w:p>
    <w:p w:rsidR="00B06B7F" w:rsidRDefault="00511BD7" w14:paraId="2D077F0B" w14:textId="53CCE141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8C97F" wp14:editId="2A60D1C1">
                <wp:simplePos x="0" y="0"/>
                <wp:positionH relativeFrom="margin">
                  <wp:posOffset>19050</wp:posOffset>
                </wp:positionH>
                <wp:positionV relativeFrom="paragraph">
                  <wp:posOffset>168910</wp:posOffset>
                </wp:positionV>
                <wp:extent cx="584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1.5pt,13.3pt" to="461.5pt,13.3pt" w14:anchorId="3261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">
                <v:stroke joinstyle="miter"/>
                <w10:wrap anchorx="margin"/>
              </v:line>
            </w:pict>
          </mc:Fallback>
        </mc:AlternateContent>
      </w:r>
    </w:p>
    <w:p w:rsidRPr="00F44BCC" w:rsidR="00934E0C" w:rsidP="00BC6B0A" w:rsidRDefault="00332393" w14:paraId="17C4E06D" w14:textId="76958558">
      <w:pPr>
        <w:spacing w:before="240"/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School Name:</w:t>
      </w:r>
      <w:r w:rsidR="006822F3">
        <w:rPr>
          <w:b/>
          <w:bCs/>
          <w:sz w:val="28"/>
          <w:szCs w:val="28"/>
          <w:lang w:val="en-US"/>
        </w:rPr>
        <w:t xml:space="preserve"> </w:t>
      </w:r>
      <w:r w:rsidR="009B5239">
        <w:rPr>
          <w:b/>
          <w:bCs/>
          <w:sz w:val="28"/>
          <w:szCs w:val="28"/>
          <w:lang w:val="en-US"/>
        </w:rPr>
        <w:t xml:space="preserve"> </w:t>
      </w:r>
      <w:r w:rsidR="00D7349D">
        <w:rPr>
          <w:b/>
          <w:bCs/>
          <w:sz w:val="28"/>
          <w:szCs w:val="28"/>
          <w:lang w:val="en-US"/>
        </w:rPr>
        <w:t xml:space="preserve">École </w:t>
      </w:r>
      <w:r w:rsidR="00B23446">
        <w:rPr>
          <w:b/>
          <w:bCs/>
          <w:sz w:val="28"/>
          <w:szCs w:val="28"/>
          <w:lang w:val="en-US"/>
        </w:rPr>
        <w:t xml:space="preserve">Nesika </w:t>
      </w:r>
      <w:r w:rsidR="00F44BCC">
        <w:rPr>
          <w:b/>
          <w:bCs/>
          <w:sz w:val="28"/>
          <w:szCs w:val="28"/>
          <w:lang w:val="en-US"/>
        </w:rPr>
        <w:t>Elementary</w:t>
      </w:r>
      <w:r w:rsidR="00B73360">
        <w:rPr>
          <w:b/>
          <w:bCs/>
          <w:sz w:val="28"/>
          <w:szCs w:val="28"/>
          <w:lang w:val="en-US"/>
        </w:rPr>
        <w:t xml:space="preserve"> School</w:t>
      </w:r>
      <w:bookmarkStart w:name="_GoBack" w:id="0"/>
      <w:bookmarkEnd w:id="0"/>
    </w:p>
    <w:p w:rsidRPr="00BC6B0A" w:rsidR="00247FBF" w:rsidP="00BC6B0A" w:rsidRDefault="00291E70" w14:paraId="7F9F65C4" w14:textId="26E3A340">
      <w:pPr>
        <w:spacing w:before="240"/>
        <w:ind w:left="1276"/>
        <w:rPr>
          <w:lang w:val="en-US"/>
        </w:rPr>
      </w:pPr>
      <w:r w:rsidRPr="00291E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0E61E7" wp14:editId="5DF30072">
            <wp:simplePos x="0" y="0"/>
            <wp:positionH relativeFrom="margin">
              <wp:posOffset>-31750</wp:posOffset>
            </wp:positionH>
            <wp:positionV relativeFrom="paragraph">
              <wp:posOffset>15875</wp:posOffset>
            </wp:positionV>
            <wp:extent cx="711200" cy="7112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9E1CDD2-24E4-4B1B-90CD-C7536F465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9E1CDD2-24E4-4B1B-90CD-C7536F4651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BF">
        <w:rPr>
          <w:b w:val="1"/>
          <w:bCs w:val="1"/>
          <w:sz w:val="28"/>
          <w:szCs w:val="28"/>
          <w:lang w:val="en-US"/>
        </w:rPr>
        <w:t xml:space="preserve">Ministry </w:t>
      </w:r>
      <w:r w:rsidR="00291E70">
        <w:rPr>
          <w:b w:val="1"/>
          <w:bCs w:val="1"/>
          <w:sz w:val="28"/>
          <w:szCs w:val="28"/>
          <w:lang w:val="en-US"/>
        </w:rPr>
        <w:t xml:space="preserve">of Education </w:t>
      </w:r>
      <w:r w:rsidR="00247FBF">
        <w:rPr>
          <w:b w:val="1"/>
          <w:bCs w:val="1"/>
          <w:sz w:val="28"/>
          <w:szCs w:val="28"/>
          <w:lang w:val="en-US"/>
        </w:rPr>
        <w:t xml:space="preserve">Framework: </w:t>
      </w:r>
      <w:r w:rsidRPr="00BC6B0A" w:rsidR="00247FBF">
        <w:rPr>
          <w:lang w:val="en-US"/>
        </w:rPr>
        <w:t xml:space="preserve">A shared commitment to </w:t>
      </w:r>
      <w:r w:rsidRPr="00BC6B0A" w:rsidR="00247FBF">
        <w:rPr>
          <w:b w:val="1"/>
          <w:bCs w:val="1"/>
          <w:lang w:val="en-US"/>
        </w:rPr>
        <w:t xml:space="preserve">improve </w:t>
      </w:r>
      <w:r w:rsidRPr="00BC6B0A" w:rsidR="00247FBF">
        <w:rPr>
          <w:lang w:val="en-US"/>
        </w:rPr>
        <w:t xml:space="preserve">student success, equity and inclusivity of learning </w:t>
      </w:r>
      <w:r w:rsidRPr="00BC6B0A" w:rsidR="00247FBF">
        <w:rPr>
          <w:b w:val="1"/>
          <w:bCs w:val="1"/>
          <w:lang w:val="en-US"/>
        </w:rPr>
        <w:t xml:space="preserve">outcomes for all students </w:t>
      </w:r>
      <w:r w:rsidRPr="00BC6B0A" w:rsidR="00247FBF">
        <w:rPr>
          <w:lang w:val="en-US"/>
        </w:rPr>
        <w:t>with a particular focus on Indigenous students, children and youth in care and students with disabilities or diverse abilities</w:t>
      </w:r>
      <w:r w:rsidRPr="00BC6B0A" w:rsidR="00CC1442">
        <w:rPr>
          <w:lang w:val="en-US"/>
        </w:rPr>
        <w:t>.</w:t>
      </w:r>
    </w:p>
    <w:p w:rsidR="009B5239" w:rsidP="7D2B26F8" w:rsidRDefault="00B06B7F" w14:paraId="32893657" w14:textId="5B68C5E7">
      <w:pPr>
        <w:spacing w:before="240"/>
        <w:ind w:left="1276"/>
        <w:rPr>
          <w:rFonts w:cs="Calibri" w:cstheme="minorAscii"/>
          <w:lang w:val="en-US"/>
        </w:rPr>
      </w:pPr>
      <w:r w:rsidRPr="00A37EAA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4560B45" wp14:editId="4E64F52C">
            <wp:simplePos x="0" y="0"/>
            <wp:positionH relativeFrom="column">
              <wp:posOffset>-129540</wp:posOffset>
            </wp:positionH>
            <wp:positionV relativeFrom="paragraph">
              <wp:posOffset>45085</wp:posOffset>
            </wp:positionV>
            <wp:extent cx="90297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7EAA" w:rsidR="00B06B7F">
        <w:rPr>
          <w:b w:val="1"/>
          <w:bCs w:val="1"/>
          <w:sz w:val="28"/>
          <w:szCs w:val="28"/>
          <w:lang w:val="en-US"/>
        </w:rPr>
        <w:t>Circle of Courage</w:t>
      </w:r>
      <w:r w:rsidRPr="00A37EAA" w:rsidR="00B06B7F">
        <w:rPr>
          <w:sz w:val="24"/>
          <w:szCs w:val="24"/>
          <w:lang w:val="en-US"/>
        </w:rPr>
        <w:t xml:space="preserve">: 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(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Brendtro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, 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Brokenleg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, Van 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Bockern</w:t>
      </w:r>
      <w:r w:rsidRPr="7D2B26F8" w:rsidR="00B06B7F">
        <w:rPr>
          <w:rFonts w:cs="Calibri" w:cstheme="minorAscii"/>
          <w:color w:val="202122"/>
          <w:shd w:val="clear" w:color="auto" w:fill="FFFFFF"/>
        </w:rPr>
        <w:t xml:space="preserve">, 1990) emphasizes the four growth needs of all children: Belonging, Mastery, Independence, and Generosity. This model informs teaching and educational decision-making in the District and is expected to be considered in school planning for learner success. </w:t>
      </w:r>
    </w:p>
    <w:p w:rsidR="009B5239" w:rsidP="7D2B26F8" w:rsidRDefault="00B06B7F" w14:paraId="72132F2B" w14:textId="0E799601">
      <w:pPr>
        <w:pStyle w:val="Normal"/>
        <w:spacing w:before="240"/>
        <w:ind w:left="0"/>
        <w:rPr>
          <w:b w:val="1"/>
          <w:bCs w:val="1"/>
          <w:sz w:val="28"/>
          <w:szCs w:val="28"/>
          <w:lang w:val="en-US"/>
        </w:rPr>
      </w:pPr>
      <w:r w:rsidRPr="7D2B26F8" w:rsidR="4DD3E038">
        <w:rPr>
          <w:b w:val="1"/>
          <w:bCs w:val="1"/>
          <w:sz w:val="28"/>
          <w:szCs w:val="28"/>
          <w:lang w:val="en-US"/>
        </w:rPr>
        <w:t xml:space="preserve">Collection of Evidence </w:t>
      </w:r>
    </w:p>
    <w:p w:rsidR="009B5239" w:rsidP="7D2B26F8" w:rsidRDefault="00B06B7F" w14:paraId="11E1498D" w14:textId="27028507">
      <w:pPr>
        <w:pStyle w:val="Normal"/>
        <w:spacing w:before="240"/>
        <w:ind w:left="0"/>
        <w:rPr>
          <w:b w:val="0"/>
          <w:bCs w:val="0"/>
          <w:sz w:val="22"/>
          <w:szCs w:val="22"/>
          <w:lang w:val="en-US"/>
        </w:rPr>
      </w:pPr>
      <w:r w:rsidRPr="7D2B26F8" w:rsidR="4DD3E038">
        <w:rPr>
          <w:b w:val="0"/>
          <w:bCs w:val="0"/>
          <w:sz w:val="22"/>
          <w:szCs w:val="22"/>
          <w:lang w:val="en-US"/>
        </w:rPr>
        <w:t xml:space="preserve">After reviewing data input into the Power BI collection program, we have identified a need for collection of authentic evidence at every grade level, particularly </w:t>
      </w:r>
      <w:r w:rsidRPr="7D2B26F8" w:rsidR="7A4D6681">
        <w:rPr>
          <w:b w:val="0"/>
          <w:bCs w:val="0"/>
          <w:sz w:val="22"/>
          <w:szCs w:val="22"/>
          <w:lang w:val="en-US"/>
        </w:rPr>
        <w:t>grade</w:t>
      </w:r>
      <w:r w:rsidRPr="7D2B26F8" w:rsidR="623D847D">
        <w:rPr>
          <w:b w:val="0"/>
          <w:bCs w:val="0"/>
          <w:sz w:val="22"/>
          <w:szCs w:val="22"/>
          <w:lang w:val="en-US"/>
        </w:rPr>
        <w:t>s</w:t>
      </w:r>
      <w:r w:rsidRPr="7D2B26F8" w:rsidR="7A4D6681">
        <w:rPr>
          <w:b w:val="0"/>
          <w:bCs w:val="0"/>
          <w:sz w:val="22"/>
          <w:szCs w:val="22"/>
          <w:lang w:val="en-US"/>
        </w:rPr>
        <w:t xml:space="preserve"> 4+. We wonder if when letter grades begin</w:t>
      </w:r>
      <w:r w:rsidRPr="7D2B26F8" w:rsidR="1754319E">
        <w:rPr>
          <w:b w:val="0"/>
          <w:bCs w:val="0"/>
          <w:sz w:val="22"/>
          <w:szCs w:val="22"/>
          <w:lang w:val="en-US"/>
        </w:rPr>
        <w:t xml:space="preserve"> at grade 4;</w:t>
      </w:r>
      <w:r w:rsidRPr="7D2B26F8" w:rsidR="7A4D6681">
        <w:rPr>
          <w:b w:val="0"/>
          <w:bCs w:val="0"/>
          <w:sz w:val="22"/>
          <w:szCs w:val="22"/>
          <w:lang w:val="en-US"/>
        </w:rPr>
        <w:t xml:space="preserve"> achievement data becomes less</w:t>
      </w:r>
      <w:r w:rsidRPr="7D2B26F8" w:rsidR="7B5B8B3F">
        <w:rPr>
          <w:b w:val="0"/>
          <w:bCs w:val="0"/>
          <w:sz w:val="22"/>
          <w:szCs w:val="22"/>
          <w:lang w:val="en-US"/>
        </w:rPr>
        <w:t xml:space="preserve"> reflective of authentic student progress</w:t>
      </w:r>
      <w:r w:rsidRPr="7D2B26F8" w:rsidR="0528D2B6">
        <w:rPr>
          <w:b w:val="0"/>
          <w:bCs w:val="0"/>
          <w:sz w:val="22"/>
          <w:szCs w:val="22"/>
          <w:lang w:val="en-US"/>
        </w:rPr>
        <w:t>?</w:t>
      </w:r>
      <w:r w:rsidRPr="7D2B26F8" w:rsidR="7A4D6681">
        <w:rPr>
          <w:b w:val="0"/>
          <w:bCs w:val="0"/>
          <w:sz w:val="22"/>
          <w:szCs w:val="22"/>
          <w:lang w:val="en-US"/>
        </w:rPr>
        <w:t xml:space="preserve"> </w:t>
      </w:r>
      <w:r w:rsidRPr="7D2B26F8" w:rsidR="474F6512">
        <w:rPr>
          <w:b w:val="0"/>
          <w:bCs w:val="0"/>
          <w:sz w:val="22"/>
          <w:szCs w:val="22"/>
          <w:lang w:val="en-US"/>
        </w:rPr>
        <w:t>We believe there is a need to change both the way we code assessment</w:t>
      </w:r>
      <w:r w:rsidRPr="7D2B26F8" w:rsidR="0306CAB5">
        <w:rPr>
          <w:b w:val="0"/>
          <w:bCs w:val="0"/>
          <w:sz w:val="22"/>
          <w:szCs w:val="22"/>
          <w:lang w:val="en-US"/>
        </w:rPr>
        <w:t>,</w:t>
      </w:r>
      <w:r w:rsidRPr="7D2B26F8" w:rsidR="474F6512">
        <w:rPr>
          <w:b w:val="0"/>
          <w:bCs w:val="0"/>
          <w:sz w:val="22"/>
          <w:szCs w:val="22"/>
          <w:lang w:val="en-US"/>
        </w:rPr>
        <w:t xml:space="preserve"> and </w:t>
      </w:r>
      <w:r w:rsidRPr="7D2B26F8" w:rsidR="05757DA7">
        <w:rPr>
          <w:b w:val="0"/>
          <w:bCs w:val="0"/>
          <w:sz w:val="22"/>
          <w:szCs w:val="22"/>
          <w:lang w:val="en-US"/>
        </w:rPr>
        <w:t xml:space="preserve">the way we </w:t>
      </w:r>
      <w:r w:rsidRPr="7D2B26F8" w:rsidR="474F6512">
        <w:rPr>
          <w:b w:val="0"/>
          <w:bCs w:val="0"/>
          <w:sz w:val="22"/>
          <w:szCs w:val="22"/>
          <w:lang w:val="en-US"/>
        </w:rPr>
        <w:t xml:space="preserve">practice assessment and reporting in our classrooms.  </w:t>
      </w:r>
      <w:r w:rsidRPr="7D2B26F8" w:rsidR="6569B322">
        <w:rPr>
          <w:b w:val="0"/>
          <w:bCs w:val="0"/>
          <w:sz w:val="22"/>
          <w:szCs w:val="22"/>
          <w:lang w:val="en-US"/>
        </w:rPr>
        <w:t>As such, we see a</w:t>
      </w:r>
      <w:r w:rsidRPr="7D2B26F8" w:rsidR="079D7A62">
        <w:rPr>
          <w:b w:val="0"/>
          <w:bCs w:val="0"/>
          <w:sz w:val="22"/>
          <w:szCs w:val="22"/>
          <w:lang w:val="en-US"/>
        </w:rPr>
        <w:t xml:space="preserve">n opportunity to make changes </w:t>
      </w:r>
      <w:r w:rsidRPr="7D2B26F8" w:rsidR="46C691B5">
        <w:rPr>
          <w:b w:val="0"/>
          <w:bCs w:val="0"/>
          <w:sz w:val="22"/>
          <w:szCs w:val="22"/>
          <w:lang w:val="en-US"/>
        </w:rPr>
        <w:t xml:space="preserve">to </w:t>
      </w:r>
      <w:r w:rsidRPr="7D2B26F8" w:rsidR="079D7A62">
        <w:rPr>
          <w:b w:val="0"/>
          <w:bCs w:val="0"/>
          <w:sz w:val="22"/>
          <w:szCs w:val="22"/>
          <w:lang w:val="en-US"/>
        </w:rPr>
        <w:t>these</w:t>
      </w:r>
      <w:r w:rsidRPr="7D2B26F8" w:rsidR="082A5520">
        <w:rPr>
          <w:b w:val="0"/>
          <w:bCs w:val="0"/>
          <w:sz w:val="22"/>
          <w:szCs w:val="22"/>
          <w:lang w:val="en-US"/>
        </w:rPr>
        <w:t xml:space="preserve"> </w:t>
      </w:r>
      <w:r w:rsidRPr="7D2B26F8" w:rsidR="079D7A62">
        <w:rPr>
          <w:b w:val="0"/>
          <w:bCs w:val="0"/>
          <w:sz w:val="22"/>
          <w:szCs w:val="22"/>
          <w:lang w:val="en-US"/>
        </w:rPr>
        <w:t>practice</w:t>
      </w:r>
      <w:r w:rsidRPr="7D2B26F8" w:rsidR="3943FA89">
        <w:rPr>
          <w:b w:val="0"/>
          <w:bCs w:val="0"/>
          <w:sz w:val="22"/>
          <w:szCs w:val="22"/>
          <w:lang w:val="en-US"/>
        </w:rPr>
        <w:t>s</w:t>
      </w:r>
      <w:r w:rsidRPr="7D2B26F8" w:rsidR="473DE9FC">
        <w:rPr>
          <w:b w:val="0"/>
          <w:bCs w:val="0"/>
          <w:sz w:val="22"/>
          <w:szCs w:val="22"/>
          <w:lang w:val="en-US"/>
        </w:rPr>
        <w:t>:</w:t>
      </w:r>
      <w:r w:rsidRPr="7D2B26F8" w:rsidR="3943FA89">
        <w:rPr>
          <w:b w:val="0"/>
          <w:bCs w:val="0"/>
          <w:sz w:val="22"/>
          <w:szCs w:val="22"/>
          <w:lang w:val="en-US"/>
        </w:rPr>
        <w:t xml:space="preserve"> </w:t>
      </w:r>
    </w:p>
    <w:p w:rsidR="009B5239" w:rsidP="7D2B26F8" w:rsidRDefault="00B06B7F" w14:paraId="751A8070" w14:textId="6DE082BA">
      <w:pPr>
        <w:pStyle w:val="ListParagraph"/>
        <w:numPr>
          <w:ilvl w:val="0"/>
          <w:numId w:val="16"/>
        </w:numPr>
        <w:spacing w:before="240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en-US"/>
        </w:rPr>
      </w:pPr>
      <w:r w:rsidRPr="7D2B26F8" w:rsidR="4A2F3CC7">
        <w:rPr>
          <w:b w:val="0"/>
          <w:bCs w:val="0"/>
          <w:sz w:val="22"/>
          <w:szCs w:val="22"/>
          <w:lang w:val="en-US"/>
        </w:rPr>
        <w:t>In g</w:t>
      </w:r>
      <w:r w:rsidRPr="7D2B26F8" w:rsidR="3943FA89">
        <w:rPr>
          <w:b w:val="0"/>
          <w:bCs w:val="0"/>
          <w:sz w:val="22"/>
          <w:szCs w:val="22"/>
          <w:lang w:val="en-US"/>
        </w:rPr>
        <w:t>rades 1-6</w:t>
      </w:r>
      <w:r w:rsidRPr="7D2B26F8" w:rsidR="0F832E32">
        <w:rPr>
          <w:b w:val="0"/>
          <w:bCs w:val="0"/>
          <w:sz w:val="22"/>
          <w:szCs w:val="22"/>
          <w:lang w:val="en-US"/>
        </w:rPr>
        <w:t xml:space="preserve">, </w:t>
      </w:r>
      <w:r w:rsidRPr="7D2B26F8" w:rsidR="5C5A9BAF">
        <w:rPr>
          <w:b w:val="0"/>
          <w:bCs w:val="0"/>
          <w:sz w:val="22"/>
          <w:szCs w:val="22"/>
          <w:lang w:val="en-US"/>
        </w:rPr>
        <w:t>the Four-Point Provincial Proficiency Scale will be used to communicate student progress in all areas of learning.</w:t>
      </w:r>
    </w:p>
    <w:p w:rsidR="009B5239" w:rsidP="7D2B26F8" w:rsidRDefault="00B06B7F" w14:paraId="542F1773" w14:textId="3AC75221">
      <w:pPr>
        <w:pStyle w:val="ListParagraph"/>
        <w:numPr>
          <w:ilvl w:val="0"/>
          <w:numId w:val="16"/>
        </w:numPr>
        <w:spacing w:before="240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  <w:lang w:val="en-US"/>
        </w:rPr>
      </w:pPr>
      <w:r w:rsidRPr="7D2B26F8" w:rsidR="075CF50B">
        <w:rPr>
          <w:noProof w:val="0"/>
          <w:lang w:val="en-US"/>
        </w:rPr>
        <w:t xml:space="preserve">Descriptive </w:t>
      </w:r>
      <w:r w:rsidRPr="7D2B26F8" w:rsidR="03361D26">
        <w:rPr>
          <w:noProof w:val="0"/>
          <w:lang w:val="en-US"/>
        </w:rPr>
        <w:t>f</w:t>
      </w:r>
      <w:r w:rsidRPr="7D2B26F8" w:rsidR="075CF50B">
        <w:rPr>
          <w:noProof w:val="0"/>
          <w:lang w:val="en-US"/>
        </w:rPr>
        <w:t>eedback including strength-based written comments and/or documented conversations that describe individual student progress and identify specific goals to support further student growth in Fresh</w:t>
      </w:r>
      <w:r w:rsidRPr="7D2B26F8" w:rsidR="5AAE9D28">
        <w:rPr>
          <w:noProof w:val="0"/>
          <w:lang w:val="en-US"/>
        </w:rPr>
        <w:t xml:space="preserve"> </w:t>
      </w:r>
      <w:r w:rsidRPr="7D2B26F8" w:rsidR="075CF50B">
        <w:rPr>
          <w:noProof w:val="0"/>
          <w:lang w:val="en-US"/>
        </w:rPr>
        <w:t>Grade.</w:t>
      </w:r>
      <w:r w:rsidRPr="7D2B26F8" w:rsidR="4FD5249C">
        <w:rPr>
          <w:b w:val="0"/>
          <w:bCs w:val="0"/>
          <w:sz w:val="22"/>
          <w:szCs w:val="22"/>
          <w:lang w:val="en-US"/>
        </w:rPr>
        <w:t xml:space="preserve"> </w:t>
      </w:r>
      <w:r w:rsidRPr="7D2B26F8" w:rsidR="3943FA89">
        <w:rPr>
          <w:b w:val="0"/>
          <w:bCs w:val="0"/>
          <w:sz w:val="22"/>
          <w:szCs w:val="22"/>
          <w:lang w:val="en-US"/>
        </w:rPr>
        <w:t xml:space="preserve"> </w:t>
      </w:r>
      <w:r w:rsidRPr="7D2B26F8" w:rsidR="66EFECFA">
        <w:rPr>
          <w:b w:val="0"/>
          <w:bCs w:val="0"/>
          <w:sz w:val="22"/>
          <w:szCs w:val="22"/>
          <w:lang w:val="en-US"/>
        </w:rPr>
        <w:t xml:space="preserve"> </w:t>
      </w:r>
      <w:r w:rsidRPr="7D2B26F8" w:rsidR="6569B322">
        <w:rPr>
          <w:b w:val="0"/>
          <w:bCs w:val="0"/>
          <w:sz w:val="22"/>
          <w:szCs w:val="22"/>
          <w:lang w:val="en-US"/>
        </w:rPr>
        <w:t xml:space="preserve"> </w:t>
      </w:r>
    </w:p>
    <w:p w:rsidR="00934E0C" w:rsidP="7D2B26F8" w:rsidRDefault="00934E0C" w14:paraId="6567A88C" w14:textId="742735F0">
      <w:pPr>
        <w:pStyle w:val="Normal"/>
        <w:spacing w:before="240"/>
        <w:ind w:left="0"/>
        <w:rPr>
          <w:b w:val="1"/>
          <w:bCs w:val="1"/>
          <w:sz w:val="28"/>
          <w:szCs w:val="28"/>
          <w:lang w:val="en-US"/>
        </w:rPr>
      </w:pPr>
      <w:r w:rsidRPr="7D2B26F8" w:rsidR="00934E0C">
        <w:rPr>
          <w:b w:val="1"/>
          <w:bCs w:val="1"/>
          <w:sz w:val="28"/>
          <w:szCs w:val="28"/>
          <w:lang w:val="en-US"/>
        </w:rPr>
        <w:t>Intellectual Development</w:t>
      </w:r>
    </w:p>
    <w:p w:rsidR="00934E0C" w:rsidRDefault="00934E0C" w14:paraId="6FF43B72" w14:textId="72C4DAE2">
      <w:pPr>
        <w:rPr>
          <w:lang w:val="en-US"/>
        </w:rPr>
      </w:pPr>
      <w:r w:rsidRPr="00947B17">
        <w:rPr>
          <w:b/>
          <w:bCs/>
          <w:lang w:val="en-US"/>
        </w:rPr>
        <w:t>Educational Outcome 1:</w:t>
      </w:r>
      <w:r>
        <w:rPr>
          <w:lang w:val="en-US"/>
        </w:rPr>
        <w:t xml:space="preserve"> </w:t>
      </w:r>
      <w:r w:rsidRPr="00BC6B0A">
        <w:rPr>
          <w:b/>
          <w:bCs/>
          <w:lang w:val="en-US"/>
        </w:rPr>
        <w:t>Students will meet or exceed literacy expectations for each grade level</w:t>
      </w:r>
    </w:p>
    <w:p w:rsidRPr="00912C17" w:rsidR="00912C17" w:rsidP="00912C17" w:rsidRDefault="00947B17" w14:paraId="67248B0C" w14:textId="25F1F214">
      <w:pPr>
        <w:rPr>
          <w:u w:val="single"/>
          <w:lang w:val="en-US"/>
        </w:rPr>
      </w:pPr>
      <w:r>
        <w:rPr>
          <w:u w:val="single"/>
          <w:lang w:val="en-US"/>
        </w:rPr>
        <w:t xml:space="preserve">2019-2020 </w:t>
      </w:r>
      <w:r w:rsidR="00912C17">
        <w:rPr>
          <w:u w:val="single"/>
          <w:lang w:val="en-US"/>
        </w:rPr>
        <w:t>Results</w:t>
      </w:r>
      <w:r>
        <w:rPr>
          <w:u w:val="single"/>
          <w:lang w:val="en-US"/>
        </w:rPr>
        <w:t>:</w:t>
      </w:r>
    </w:p>
    <w:p w:rsidRPr="00F44BCC" w:rsidR="00102111" w:rsidP="009A01B5" w:rsidRDefault="00102111" w14:paraId="1AB0E63C" w14:textId="73957725">
      <w:pPr>
        <w:pStyle w:val="ListParagraph"/>
        <w:numPr>
          <w:ilvl w:val="0"/>
          <w:numId w:val="5"/>
        </w:numPr>
        <w:rPr>
          <w:lang w:val="en-US"/>
        </w:rPr>
      </w:pPr>
      <w:r w:rsidRPr="009A01B5">
        <w:rPr>
          <w:lang w:val="en-US"/>
        </w:rPr>
        <w:t>Percentage of</w:t>
      </w:r>
      <w:r w:rsidRPr="009A01B5" w:rsidR="00D95D06">
        <w:rPr>
          <w:lang w:val="en-US"/>
        </w:rPr>
        <w:t xml:space="preserve"> </w:t>
      </w:r>
      <w:r w:rsidRPr="009A01B5">
        <w:rPr>
          <w:lang w:val="en-US"/>
        </w:rPr>
        <w:t>students meeting or exceeding literacy expectations</w:t>
      </w:r>
      <w:r w:rsidRPr="009A01B5" w:rsidR="00332393">
        <w:rPr>
          <w:lang w:val="en-US"/>
        </w:rPr>
        <w:t>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Pr="00F44BCC" w:rsidR="00F44BCC" w:rsidTr="27A99B81" w14:paraId="0EB6FCE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C3041" w:rsidTr="27A99B81" w14:paraId="2BA3C27E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23446" w:rsidTr="27A99B81" w14:paraId="12C5CCA9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D7349D" w:rsidTr="27A99B81" w14:paraId="6C566A5E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7349D" w:rsidP="00D7349D" w:rsidRDefault="00D7349D" w14:paraId="77D2C82D" w14:textId="2ECE07F3">
                              <w:pPr>
                                <w:rPr>
                                  <w:rFonts w:ascii="Segoe UI" w:hAnsi="Segoe UI" w:cs="Segoe UI"/>
                                  <w:color w:val="605E5C"/>
                                  <w:sz w:val="18"/>
                                  <w:szCs w:val="18"/>
                                </w:rPr>
                              </w:pPr>
                              <w:r w:rsidR="00D7349D">
                                <w:drawing>
                                  <wp:inline wp14:editId="27A99B81" wp14:anchorId="51DBC99F">
                                    <wp:extent cx="5943600" cy="2992755"/>
                                    <wp:effectExtent l="0" t="0" r="0" b="0"/>
                                    <wp:docPr id="5" name="Picture 5" title="">
                                      <a:hlinkClick r:id="Rd2e4e5ee162b4091"/>
                                    </wp:docPr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0" name="Picture 5"/>
                                            <pic:cNvPicPr/>
                                          </pic:nvPicPr>
                                          <pic:blipFill>
                                            <a:blip r:embed="R94e4e2fc8c494b4b">
                                              <a:extLst xmlns:a="http://schemas.openxmlformats.org/drawingml/2006/main"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 flipH="0" flipV="0">
                                              <a:off x="0" y="0"/>
                                              <a:ext cx="5943600" cy="2992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7349D" w:rsidTr="27A99B81" w14:paraId="6D2AB513" w14:textId="77777777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7349D" w:rsidP="00D7349D" w:rsidRDefault="00D7349D" w14:paraId="1AF6125A" w14:textId="76A3EF7A">
                              <w:pPr>
                                <w:rPr>
                                  <w:rFonts w:ascii="Segoe UI" w:hAnsi="Segoe UI" w:cs="Segoe UI"/>
                                  <w:color w:val="605E5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605E5C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B23446" w:rsidP="00B23446" w:rsidRDefault="00B23446" w14:paraId="28244708" w14:textId="37DDC503">
                        <w:pPr>
                          <w:rPr>
                            <w:rFonts w:ascii="Segoe UI" w:hAnsi="Segoe UI" w:cs="Segoe UI"/>
                            <w:color w:val="605E5C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3446" w:rsidTr="27A99B81" w14:paraId="780AC804" w14:textId="77777777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23446" w:rsidP="00B23446" w:rsidRDefault="00B23446" w14:paraId="22E64C53" w14:textId="3113C05B">
                        <w:pPr>
                          <w:rPr>
                            <w:rFonts w:ascii="Segoe UI" w:hAnsi="Segoe UI" w:cs="Segoe UI"/>
                            <w:color w:val="605E5C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C3041" w:rsidP="00DC3041" w:rsidRDefault="00DC3041" w14:paraId="146CC3E4" w14:textId="75AF3753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  <w:tr w:rsidR="00DC3041" w:rsidTr="27A99B81" w14:paraId="4E41C652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3041" w:rsidP="00DC3041" w:rsidRDefault="00DC3041" w14:paraId="71C5D9CF" w14:textId="5E66C3D8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</w:tbl>
          <w:p w:rsidRPr="00F44BCC" w:rsidR="00F44BCC" w:rsidP="00F44BCC" w:rsidRDefault="00F44BCC" w14:paraId="6E1DF7C4" w14:textId="5A424471">
            <w:pPr>
              <w:spacing w:after="0" w:line="240" w:lineRule="auto"/>
              <w:rPr>
                <w:rFonts w:ascii="Segoe UI" w:hAnsi="Segoe UI" w:eastAsia="Times New Roman" w:cs="Segoe UI"/>
                <w:color w:val="605E5C"/>
                <w:sz w:val="18"/>
                <w:szCs w:val="18"/>
                <w:lang w:eastAsia="en-CA"/>
              </w:rPr>
            </w:pPr>
          </w:p>
        </w:tc>
      </w:tr>
    </w:tbl>
    <w:p w:rsidR="00912C17" w:rsidP="00912C17" w:rsidRDefault="00947B17" w14:paraId="4CA7F772" w14:textId="68346939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2020-2021 </w:t>
      </w:r>
      <w:r w:rsidR="00242DDD">
        <w:rPr>
          <w:u w:val="single"/>
          <w:lang w:val="en-US"/>
        </w:rPr>
        <w:t xml:space="preserve">LITERACY </w:t>
      </w:r>
      <w:r>
        <w:rPr>
          <w:u w:val="single"/>
          <w:lang w:val="en-US"/>
        </w:rPr>
        <w:t>Goals and Focus Areas:</w:t>
      </w:r>
    </w:p>
    <w:p w:rsidR="00905CD7" w:rsidP="00905CD7" w:rsidRDefault="00905CD7" w14:paraId="3EA99776" w14:textId="77777777">
      <w:pPr>
        <w:pStyle w:val="ListParagraph"/>
        <w:numPr>
          <w:ilvl w:val="0"/>
          <w:numId w:val="15"/>
        </w:numPr>
        <w:spacing w:line="256" w:lineRule="auto"/>
        <w:rPr>
          <w:u w:val="single"/>
          <w:lang w:val="en-US"/>
        </w:rPr>
      </w:pPr>
      <w:r>
        <w:rPr>
          <w:lang w:val="en-US"/>
        </w:rPr>
        <w:t>Improve the number and percentage of students grades 1-3 meeting or exceeding expectations in literacy</w:t>
      </w:r>
    </w:p>
    <w:p w:rsidR="00905CD7" w:rsidP="00905CD7" w:rsidRDefault="00905CD7" w14:paraId="0B245BB1" w14:textId="77777777">
      <w:pPr>
        <w:pStyle w:val="ListParagraph"/>
        <w:numPr>
          <w:ilvl w:val="0"/>
          <w:numId w:val="15"/>
        </w:numPr>
        <w:spacing w:line="256" w:lineRule="auto"/>
        <w:rPr>
          <w:u w:val="single"/>
          <w:lang w:val="en-US"/>
        </w:rPr>
      </w:pPr>
      <w:r>
        <w:rPr>
          <w:lang w:val="en-US"/>
        </w:rPr>
        <w:t>Improve the number and percentage of Indigenous students grades 1-3 meeting or exceeding expectations in literacy</w:t>
      </w:r>
    </w:p>
    <w:p w:rsidR="007C02ED" w:rsidRDefault="006F0FAB" w14:paraId="1AB858AC" w14:textId="3B4CFFE3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 w:rsidR="00DE426B">
        <w:rPr>
          <w:u w:val="single"/>
          <w:lang w:val="en-US"/>
        </w:rPr>
        <w:t>:</w:t>
      </w:r>
    </w:p>
    <w:p w:rsidRPr="00525675" w:rsidR="006F0FAB" w:rsidP="006733F7" w:rsidRDefault="009A01B5" w14:paraId="247D62F6" w14:textId="672F35B4">
      <w:pPr>
        <w:pStyle w:val="ListParagraph"/>
        <w:numPr>
          <w:ilvl w:val="0"/>
          <w:numId w:val="2"/>
        </w:numPr>
        <w:rPr>
          <w:lang w:val="en-US"/>
        </w:rPr>
      </w:pPr>
      <w:r w:rsidRPr="00525675">
        <w:rPr>
          <w:lang w:val="en-US"/>
        </w:rPr>
        <w:t>Actions for Enhancing Student Learning</w:t>
      </w:r>
      <w:r w:rsidRPr="00525675" w:rsidR="008845AB">
        <w:rPr>
          <w:lang w:val="en-US"/>
        </w:rPr>
        <w:t xml:space="preserve"> and Experience</w:t>
      </w:r>
    </w:p>
    <w:p w:rsidRPr="00525675" w:rsidR="00740758" w:rsidP="00740758" w:rsidRDefault="00740758" w14:paraId="192C3A39" w14:textId="30360CD1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>School wide focus on explicitly teaching reading strategies (identified from EPRA/DART as a need)</w:t>
      </w:r>
    </w:p>
    <w:p w:rsidRPr="00525675" w:rsidR="00740758" w:rsidP="00740758" w:rsidRDefault="00740758" w14:paraId="24968B10" w14:textId="37D4CB28">
      <w:pPr>
        <w:pStyle w:val="ListParagraph"/>
        <w:numPr>
          <w:ilvl w:val="1"/>
          <w:numId w:val="2"/>
        </w:numPr>
        <w:rPr>
          <w:lang w:val="en-US"/>
        </w:rPr>
      </w:pPr>
      <w:r w:rsidRPr="27A99B81" w:rsidR="00740758">
        <w:rPr>
          <w:lang w:val="en-US"/>
        </w:rPr>
        <w:t xml:space="preserve">Supplemental reading support </w:t>
      </w:r>
      <w:r w:rsidRPr="27A99B81" w:rsidR="00687A61">
        <w:rPr>
          <w:lang w:val="en-US"/>
        </w:rPr>
        <w:t xml:space="preserve">(Literacy </w:t>
      </w:r>
      <w:r w:rsidRPr="27A99B81" w:rsidR="005A236D">
        <w:rPr>
          <w:lang w:val="en-US"/>
        </w:rPr>
        <w:t>l</w:t>
      </w:r>
      <w:r w:rsidRPr="27A99B81" w:rsidR="00687A61">
        <w:rPr>
          <w:lang w:val="en-US"/>
        </w:rPr>
        <w:t>ead teacher</w:t>
      </w:r>
      <w:r w:rsidRPr="27A99B81" w:rsidR="005A236D">
        <w:rPr>
          <w:lang w:val="en-US"/>
        </w:rPr>
        <w:t xml:space="preserve"> – Mrs. Johnson</w:t>
      </w:r>
      <w:r w:rsidRPr="27A99B81" w:rsidR="00687A61">
        <w:rPr>
          <w:lang w:val="en-US"/>
        </w:rPr>
        <w:t xml:space="preserve">) </w:t>
      </w:r>
      <w:r w:rsidRPr="27A99B81" w:rsidR="00740758">
        <w:rPr>
          <w:lang w:val="en-US"/>
        </w:rPr>
        <w:t>for targeted students</w:t>
      </w:r>
      <w:r w:rsidRPr="27A99B81" w:rsidR="5815CECE">
        <w:rPr>
          <w:lang w:val="en-US"/>
        </w:rPr>
        <w:t xml:space="preserve"> when applicable</w:t>
      </w:r>
    </w:p>
    <w:p w:rsidRPr="00525675" w:rsidR="00687A61" w:rsidP="00740758" w:rsidRDefault="00525675" w14:paraId="718F68EA" w14:textId="5FB6498D">
      <w:pPr>
        <w:pStyle w:val="ListParagraph"/>
        <w:numPr>
          <w:ilvl w:val="1"/>
          <w:numId w:val="2"/>
        </w:numPr>
        <w:rPr>
          <w:lang w:val="en-US"/>
        </w:rPr>
      </w:pPr>
      <w:r w:rsidRPr="27A99B81" w:rsidR="00525675">
        <w:rPr>
          <w:lang w:val="en-US"/>
        </w:rPr>
        <w:t xml:space="preserve">Phonological awareness screening and concepts of print for all primary students in K-3 with </w:t>
      </w:r>
      <w:r w:rsidRPr="27A99B81" w:rsidR="005A236D">
        <w:rPr>
          <w:lang w:val="en-US"/>
        </w:rPr>
        <w:t>l</w:t>
      </w:r>
      <w:r w:rsidRPr="27A99B81" w:rsidR="00525675">
        <w:rPr>
          <w:lang w:val="en-US"/>
        </w:rPr>
        <w:t xml:space="preserve">iteracy </w:t>
      </w:r>
      <w:r w:rsidRPr="27A99B81" w:rsidR="005A236D">
        <w:rPr>
          <w:lang w:val="en-US"/>
        </w:rPr>
        <w:t>l</w:t>
      </w:r>
      <w:r w:rsidRPr="27A99B81" w:rsidR="00525675">
        <w:rPr>
          <w:lang w:val="en-US"/>
        </w:rPr>
        <w:t>ead teacher and school speech and language pathologist</w:t>
      </w:r>
      <w:r w:rsidRPr="27A99B81" w:rsidR="000229A9">
        <w:rPr>
          <w:lang w:val="en-US"/>
        </w:rPr>
        <w:t xml:space="preserve"> (Mrs. Johnson and Ms. Lundeen)</w:t>
      </w:r>
      <w:r w:rsidRPr="27A99B81" w:rsidR="1E29A180">
        <w:rPr>
          <w:lang w:val="en-US"/>
        </w:rPr>
        <w:t>. Beginning of a development of K-3 learner profile project.</w:t>
      </w:r>
      <w:r w:rsidRPr="27A99B81" w:rsidR="00525675">
        <w:rPr>
          <w:lang w:val="en-US"/>
        </w:rPr>
        <w:t xml:space="preserve">  </w:t>
      </w:r>
    </w:p>
    <w:p w:rsidRPr="00525675" w:rsidR="009A01B5" w:rsidP="006733F7" w:rsidRDefault="009A01B5" w14:paraId="2303E7E6" w14:textId="6BD8F65F">
      <w:pPr>
        <w:pStyle w:val="ListParagraph"/>
        <w:numPr>
          <w:ilvl w:val="0"/>
          <w:numId w:val="2"/>
        </w:numPr>
        <w:rPr>
          <w:lang w:val="en-US"/>
        </w:rPr>
      </w:pPr>
      <w:r w:rsidRPr="00525675">
        <w:rPr>
          <w:lang w:val="en-US"/>
        </w:rPr>
        <w:t>Actions for Enhancing Staff Capacity &amp; Learning</w:t>
      </w:r>
    </w:p>
    <w:p w:rsidRPr="00525675" w:rsidR="00A8466E" w:rsidP="00DC6D48" w:rsidRDefault="00A8466E" w14:paraId="2B686540" w14:textId="1562C4DC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>Whole staff review of ELA</w:t>
      </w:r>
      <w:r w:rsidR="00D86075">
        <w:rPr>
          <w:lang w:val="en-US"/>
        </w:rPr>
        <w:t xml:space="preserve"> &amp; </w:t>
      </w:r>
      <w:r w:rsidRPr="00D86075" w:rsidR="00D86075">
        <w:rPr>
          <w:rFonts w:cstheme="minorHAnsi"/>
          <w:color w:val="3B3B3B"/>
          <w:shd w:val="clear" w:color="auto" w:fill="FFFFFF"/>
        </w:rPr>
        <w:t>FILA</w:t>
      </w:r>
      <w:r w:rsidRPr="00D86075">
        <w:rPr>
          <w:rFonts w:cstheme="minorHAnsi"/>
          <w:lang w:val="en-US"/>
        </w:rPr>
        <w:t xml:space="preserve"> </w:t>
      </w:r>
      <w:r w:rsidRPr="00525675">
        <w:rPr>
          <w:lang w:val="en-US"/>
        </w:rPr>
        <w:t xml:space="preserve">curriculum and provincial </w:t>
      </w:r>
      <w:r w:rsidR="002C3811">
        <w:rPr>
          <w:lang w:val="en-US"/>
        </w:rPr>
        <w:t xml:space="preserve">performance </w:t>
      </w:r>
      <w:r w:rsidRPr="00525675">
        <w:rPr>
          <w:lang w:val="en-US"/>
        </w:rPr>
        <w:t>standards</w:t>
      </w:r>
    </w:p>
    <w:p w:rsidRPr="00525675" w:rsidR="00A8466E" w:rsidP="00DC6D48" w:rsidRDefault="00A8466E" w14:paraId="60580387" w14:textId="1D3E59A1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>Whole staff review of EPRA/</w:t>
      </w:r>
      <w:r w:rsidR="00D86075">
        <w:rPr>
          <w:lang w:val="en-US"/>
        </w:rPr>
        <w:t>FEPRA/</w:t>
      </w:r>
      <w:r w:rsidRPr="00525675">
        <w:rPr>
          <w:lang w:val="en-US"/>
        </w:rPr>
        <w:t>DART results and report card marks</w:t>
      </w:r>
    </w:p>
    <w:p w:rsidRPr="00525675" w:rsidR="00A8466E" w:rsidP="00DC6D48" w:rsidRDefault="00A8466E" w14:paraId="44717FB9" w14:textId="065B5956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>School literacy lead attending Faye Brownlie Pro-D and sharing with staff</w:t>
      </w:r>
    </w:p>
    <w:p w:rsidRPr="00242DDD" w:rsidR="00242DDD" w:rsidP="00242DDD" w:rsidRDefault="00525675" w14:paraId="1C67AE4E" w14:textId="6EECBB49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 xml:space="preserve">School literacy lead holding monthly meetings to discuss </w:t>
      </w:r>
      <w:r w:rsidR="00F81A24">
        <w:rPr>
          <w:lang w:val="en-US"/>
        </w:rPr>
        <w:t xml:space="preserve">best </w:t>
      </w:r>
      <w:r w:rsidRPr="00525675">
        <w:rPr>
          <w:lang w:val="en-US"/>
        </w:rPr>
        <w:t>reading strategies</w:t>
      </w:r>
      <w:r w:rsidR="00F81A24">
        <w:rPr>
          <w:lang w:val="en-US"/>
        </w:rPr>
        <w:t xml:space="preserve">/approaches </w:t>
      </w:r>
      <w:r w:rsidRPr="00525675">
        <w:rPr>
          <w:lang w:val="en-US"/>
        </w:rPr>
        <w:t xml:space="preserve">with classroom teachers </w:t>
      </w:r>
    </w:p>
    <w:p w:rsidR="00102111" w:rsidP="00102111" w:rsidRDefault="00102111" w14:paraId="511E40AD" w14:textId="6C32F82E">
      <w:pPr>
        <w:rPr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Pr="00947B17" w:rsidR="000F16F6">
        <w:rPr>
          <w:b/>
          <w:bCs/>
          <w:lang w:val="en-US"/>
        </w:rPr>
        <w:t>2</w:t>
      </w:r>
      <w:r w:rsidRPr="00947B17">
        <w:rPr>
          <w:b/>
          <w:bCs/>
          <w:lang w:val="en-US"/>
        </w:rPr>
        <w:t>:</w:t>
      </w:r>
      <w:r>
        <w:rPr>
          <w:lang w:val="en-US"/>
        </w:rPr>
        <w:t xml:space="preserve"> Students will meet or exceed </w:t>
      </w:r>
      <w:r w:rsidR="00CD35A5">
        <w:rPr>
          <w:lang w:val="en-US"/>
        </w:rPr>
        <w:t>numeracy</w:t>
      </w:r>
      <w:r>
        <w:rPr>
          <w:lang w:val="en-US"/>
        </w:rPr>
        <w:t xml:space="preserve"> expectations for each grade level</w:t>
      </w:r>
    </w:p>
    <w:p w:rsidR="00102111" w:rsidP="00102111" w:rsidRDefault="00947B17" w14:paraId="10A41BE5" w14:textId="18D84622">
      <w:pPr>
        <w:rPr>
          <w:u w:val="single"/>
          <w:lang w:val="en-US"/>
        </w:rPr>
      </w:pPr>
      <w:r>
        <w:rPr>
          <w:u w:val="single"/>
          <w:lang w:val="en-US"/>
        </w:rPr>
        <w:t xml:space="preserve">2019-2020 </w:t>
      </w:r>
      <w:r w:rsidR="00912C17">
        <w:rPr>
          <w:u w:val="single"/>
          <w:lang w:val="en-US"/>
        </w:rPr>
        <w:t>Results</w:t>
      </w:r>
      <w:r>
        <w:rPr>
          <w:u w:val="single"/>
          <w:lang w:val="en-US"/>
        </w:rPr>
        <w:t>:</w:t>
      </w:r>
    </w:p>
    <w:p w:rsidRPr="00F44BCC" w:rsidR="00102111" w:rsidP="009B073F" w:rsidRDefault="00102111" w14:paraId="02CEDB04" w14:textId="1D4809FD">
      <w:pPr>
        <w:pStyle w:val="ListParagraph"/>
        <w:numPr>
          <w:ilvl w:val="0"/>
          <w:numId w:val="7"/>
        </w:numPr>
        <w:rPr>
          <w:lang w:val="en-US"/>
        </w:rPr>
      </w:pPr>
      <w:r w:rsidRPr="009B073F">
        <w:rPr>
          <w:lang w:val="en-US"/>
        </w:rPr>
        <w:t>Percentage of</w:t>
      </w:r>
      <w:r w:rsidRPr="009B073F" w:rsidR="00325F12">
        <w:rPr>
          <w:lang w:val="en-US"/>
        </w:rPr>
        <w:t xml:space="preserve"> </w:t>
      </w:r>
      <w:r w:rsidRPr="009B073F">
        <w:rPr>
          <w:lang w:val="en-US"/>
        </w:rPr>
        <w:t xml:space="preserve">students meeting or exceeding </w:t>
      </w:r>
      <w:r w:rsidRPr="009B073F" w:rsidR="00CD35A5">
        <w:rPr>
          <w:lang w:val="en-US"/>
        </w:rPr>
        <w:t>numeracy</w:t>
      </w:r>
      <w:r w:rsidRPr="009B073F">
        <w:rPr>
          <w:lang w:val="en-US"/>
        </w:rPr>
        <w:t xml:space="preserve"> expectations</w:t>
      </w:r>
      <w:r w:rsidR="009B073F">
        <w:rPr>
          <w:lang w:val="en-US"/>
        </w:rPr>
        <w:t>:</w:t>
      </w:r>
      <w:r w:rsidR="00AE669C">
        <w:rPr>
          <w:lang w:val="en-US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Pr="00F44BCC" w:rsidR="00F44BCC" w:rsidTr="27A99B81" w14:paraId="586BBEB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F44BCC" w:rsidR="00F44BCC" w:rsidP="00F44BCC" w:rsidRDefault="00F44BCC" w14:paraId="58B5FB04" w14:textId="671928D6">
            <w:pPr>
              <w:spacing w:after="0" w:line="240" w:lineRule="auto"/>
              <w:rPr>
                <w:rFonts w:ascii="Segoe UI" w:hAnsi="Segoe UI" w:eastAsia="Times New Roman" w:cs="Segoe UI"/>
                <w:color w:val="605E5C"/>
                <w:sz w:val="18"/>
                <w:szCs w:val="18"/>
                <w:lang w:eastAsia="en-CA"/>
              </w:rPr>
            </w:pPr>
          </w:p>
        </w:tc>
      </w:tr>
      <w:tr w:rsidRPr="00F44BCC" w:rsidR="00F44BCC" w:rsidTr="27A99B81" w14:paraId="657ED3C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F44BCC" w:rsidR="00F44BCC" w:rsidP="00F44BCC" w:rsidRDefault="00F44BCC" w14:paraId="50DDBBEA" w14:textId="3075D1F7">
            <w:pPr>
              <w:spacing w:after="0" w:line="240" w:lineRule="auto"/>
              <w:rPr>
                <w:rFonts w:ascii="Segoe UI" w:hAnsi="Segoe UI" w:eastAsia="Times New Roman" w:cs="Segoe UI"/>
                <w:color w:val="605E5C"/>
                <w:sz w:val="18"/>
                <w:szCs w:val="18"/>
                <w:lang w:eastAsia="en-CA"/>
              </w:rPr>
            </w:pPr>
          </w:p>
        </w:tc>
      </w:tr>
      <w:tr w:rsidR="00DC3041" w:rsidTr="27A99B81" w14:paraId="4A9D065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7349D" w:rsidTr="27A99B81" w14:paraId="4C479933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349D" w:rsidP="00D7349D" w:rsidRDefault="00D7349D" w14:paraId="15ED50F6" w14:textId="5E4EA9F3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  <w:r w:rsidR="00D7349D">
                    <w:drawing>
                      <wp:inline wp14:editId="5A591863" wp14:anchorId="412A7C3F">
                        <wp:extent cx="5943600" cy="2981960"/>
                        <wp:effectExtent l="0" t="0" r="0" b="8890"/>
                        <wp:docPr id="6" name="Picture 6" title="">
                          <a:hlinkClick r:id="R8c391185a0fe42c5"/>
                        </wp:docPr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6"/>
                                <pic:cNvPicPr/>
                              </pic:nvPicPr>
                              <pic:blipFill>
                                <a:blip r:embed="R0b07a60eb40e4c4f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5943600" cy="298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349D" w:rsidTr="27A99B81" w14:paraId="5B729746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349D" w:rsidP="00D7349D" w:rsidRDefault="00D7349D" w14:paraId="2ADC2B37" w14:textId="269DDA39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</w:tbl>
          <w:p w:rsidRPr="00DC3041" w:rsidR="00DC3041" w:rsidP="00DC3041" w:rsidRDefault="00DC3041" w14:paraId="4CA7560D" w14:textId="0CA939EF">
            <w:pPr>
              <w:spacing w:after="0" w:line="240" w:lineRule="auto"/>
              <w:rPr>
                <w:rFonts w:ascii="Segoe UI" w:hAnsi="Segoe UI" w:eastAsia="Times New Roman" w:cs="Segoe UI"/>
                <w:color w:val="605E5C"/>
                <w:sz w:val="18"/>
                <w:szCs w:val="18"/>
                <w:lang w:eastAsia="en-CA"/>
              </w:rPr>
            </w:pPr>
          </w:p>
        </w:tc>
      </w:tr>
    </w:tbl>
    <w:p w:rsidR="00912C17" w:rsidP="00912C17" w:rsidRDefault="00947B17" w14:paraId="2773578C" w14:textId="0CC77B4C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2020-2021 </w:t>
      </w:r>
      <w:r w:rsidR="00242DDD">
        <w:rPr>
          <w:u w:val="single"/>
          <w:lang w:val="en-US"/>
        </w:rPr>
        <w:t xml:space="preserve">NUMERACY </w:t>
      </w:r>
      <w:r>
        <w:rPr>
          <w:u w:val="single"/>
          <w:lang w:val="en-US"/>
        </w:rPr>
        <w:t>Goals and Focus Areas:</w:t>
      </w:r>
    </w:p>
    <w:p w:rsidR="009613AD" w:rsidP="009613AD" w:rsidRDefault="009613AD" w14:paraId="30E12E80" w14:textId="77777777">
      <w:pPr>
        <w:pStyle w:val="ListParagraph"/>
        <w:numPr>
          <w:ilvl w:val="0"/>
          <w:numId w:val="15"/>
        </w:numPr>
        <w:spacing w:line="256" w:lineRule="auto"/>
        <w:rPr>
          <w:u w:val="single"/>
          <w:lang w:val="en-US"/>
        </w:rPr>
      </w:pPr>
      <w:r>
        <w:rPr>
          <w:lang w:val="en-US"/>
        </w:rPr>
        <w:t>Improve the number and percentage of students grades 1-3 meeting or exceeding expectations in numeracy</w:t>
      </w:r>
    </w:p>
    <w:p w:rsidRPr="0090064F" w:rsidR="00947B17" w:rsidP="0090064F" w:rsidRDefault="009613AD" w14:paraId="6555EF5F" w14:textId="6AE03D44">
      <w:pPr>
        <w:pStyle w:val="ListParagraph"/>
        <w:numPr>
          <w:ilvl w:val="0"/>
          <w:numId w:val="15"/>
        </w:numPr>
        <w:spacing w:line="256" w:lineRule="auto"/>
        <w:rPr>
          <w:u w:val="single"/>
          <w:lang w:val="en-US"/>
        </w:rPr>
      </w:pPr>
      <w:r>
        <w:rPr>
          <w:lang w:val="en-US"/>
        </w:rPr>
        <w:t>Improve the number and percentage of Indigenous students grades 1-</w:t>
      </w:r>
      <w:r>
        <w:rPr>
          <w:lang w:val="en-US"/>
        </w:rPr>
        <w:t>3</w:t>
      </w:r>
      <w:r>
        <w:rPr>
          <w:lang w:val="en-US"/>
        </w:rPr>
        <w:t xml:space="preserve"> meeting or exceeding expectations in numeracy</w:t>
      </w:r>
    </w:p>
    <w:p w:rsidR="00912C17" w:rsidP="00912C17" w:rsidRDefault="00912C17" w14:paraId="5388F1C9" w14:textId="14018727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 w:rsidR="00DE426B">
        <w:rPr>
          <w:u w:val="single"/>
          <w:lang w:val="en-US"/>
        </w:rPr>
        <w:t>:</w:t>
      </w:r>
    </w:p>
    <w:p w:rsidRPr="00947B17" w:rsidR="00912C17" w:rsidP="00912C17" w:rsidRDefault="00912C17" w14:paraId="47B08496" w14:textId="39E23043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</w:t>
      </w:r>
      <w:r w:rsidRPr="00947B17" w:rsidR="008845AB">
        <w:rPr>
          <w:lang w:val="en-US"/>
        </w:rPr>
        <w:t xml:space="preserve"> and Experience</w:t>
      </w:r>
    </w:p>
    <w:p w:rsidRPr="00525675" w:rsidR="00525675" w:rsidP="00525675" w:rsidRDefault="008509BE" w14:paraId="5E4E6697" w14:textId="075F85F2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 w:rsidRPr="00525675">
        <w:rPr>
          <w:lang w:val="en-US"/>
        </w:rPr>
        <w:t>School focus on Thinking Classrooms</w:t>
      </w:r>
      <w:r w:rsidR="009613AD">
        <w:rPr>
          <w:lang w:val="en-US"/>
        </w:rPr>
        <w:t xml:space="preserve"> practices</w:t>
      </w:r>
      <w:r w:rsidR="00980946">
        <w:rPr>
          <w:lang w:val="en-US"/>
        </w:rPr>
        <w:t xml:space="preserve"> (group led by Mrs. Bos)</w:t>
      </w:r>
    </w:p>
    <w:p w:rsidRPr="00980946" w:rsidR="009C531C" w:rsidP="00525675" w:rsidRDefault="008509BE" w14:paraId="11D4CA07" w14:textId="2A14BF42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 w:rsidRPr="00525675">
        <w:rPr>
          <w:lang w:val="en-US"/>
        </w:rPr>
        <w:t>Small group in-class support for identified gaps in number sense or extension of learning</w:t>
      </w:r>
      <w:r w:rsidR="0069544A">
        <w:rPr>
          <w:lang w:val="en-US"/>
        </w:rPr>
        <w:t>, as needed</w:t>
      </w:r>
    </w:p>
    <w:p w:rsidRPr="00525675" w:rsidR="00980946" w:rsidP="00525675" w:rsidRDefault="000B3F17" w14:paraId="1E5FA95E" w14:textId="43D7A7B2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Targeted learning rounds in grade </w:t>
      </w:r>
      <w:r w:rsidR="009C4ECB">
        <w:rPr>
          <w:lang w:val="en-US"/>
        </w:rPr>
        <w:t>3/</w:t>
      </w:r>
      <w:r>
        <w:rPr>
          <w:lang w:val="en-US"/>
        </w:rPr>
        <w:t xml:space="preserve">4 </w:t>
      </w:r>
      <w:r w:rsidR="00B22895">
        <w:rPr>
          <w:lang w:val="en-US"/>
        </w:rPr>
        <w:t>(led by Mr. Williams)</w:t>
      </w:r>
    </w:p>
    <w:p w:rsidRPr="00525675" w:rsidR="00912C17" w:rsidP="00912C17" w:rsidRDefault="00912C17" w14:paraId="4AB80A77" w14:textId="04515139">
      <w:pPr>
        <w:pStyle w:val="ListParagraph"/>
        <w:numPr>
          <w:ilvl w:val="0"/>
          <w:numId w:val="2"/>
        </w:numPr>
        <w:rPr>
          <w:lang w:val="en-US"/>
        </w:rPr>
      </w:pPr>
      <w:r w:rsidRPr="00525675">
        <w:rPr>
          <w:lang w:val="en-US"/>
        </w:rPr>
        <w:t>Actions for Enhancing Staff Capacity &amp; Learning</w:t>
      </w:r>
    </w:p>
    <w:p w:rsidRPr="00980946" w:rsidR="00980946" w:rsidP="00980946" w:rsidRDefault="00980946" w14:paraId="7435BE7B" w14:textId="497C6E33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 w:rsidRPr="00525675">
        <w:rPr>
          <w:lang w:val="en-US"/>
        </w:rPr>
        <w:t>School focus on Thinking Classrooms</w:t>
      </w:r>
      <w:r>
        <w:rPr>
          <w:lang w:val="en-US"/>
        </w:rPr>
        <w:t xml:space="preserve"> practices (group led by Mrs. Bos)</w:t>
      </w:r>
    </w:p>
    <w:p w:rsidRPr="00525675" w:rsidR="00433D70" w:rsidP="00C95B37" w:rsidRDefault="00C30579" w14:paraId="2FC50A95" w14:textId="4C8061D3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 w:rsidRPr="00525675">
        <w:t>Collecting and analyzing information from FSA and</w:t>
      </w:r>
      <w:r w:rsidRPr="00525675" w:rsidR="00433D70">
        <w:t xml:space="preserve"> report card</w:t>
      </w:r>
      <w:r w:rsidRPr="00525675" w:rsidR="009657AE">
        <w:t xml:space="preserve"> marks</w:t>
      </w:r>
      <w:r w:rsidRPr="00525675">
        <w:t xml:space="preserve"> to see if there are specific areas of focus requiring further support, especially for </w:t>
      </w:r>
      <w:r w:rsidRPr="00525675" w:rsidR="00A8466E">
        <w:t xml:space="preserve">Indigenous </w:t>
      </w:r>
      <w:r w:rsidRPr="00525675">
        <w:t xml:space="preserve">students. </w:t>
      </w:r>
    </w:p>
    <w:p w:rsidRPr="00525675" w:rsidR="00525675" w:rsidP="00525675" w:rsidRDefault="00C30579" w14:paraId="08F4959E" w14:textId="612DC459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 w:rsidRPr="00525675">
        <w:t xml:space="preserve">Explore First </w:t>
      </w:r>
      <w:r w:rsidRPr="00525675" w:rsidR="00A8466E">
        <w:t>Peoples</w:t>
      </w:r>
      <w:r w:rsidRPr="00525675">
        <w:t xml:space="preserve"> Principles of learning in practice for math</w:t>
      </w:r>
      <w:r w:rsidRPr="00525675" w:rsidR="00525675">
        <w:t xml:space="preserve"> using the FNESC Math First Peoples planning document</w:t>
      </w:r>
      <w:r w:rsidR="0069544A">
        <w:t xml:space="preserve"> and the “Wild Math” curriculum </w:t>
      </w:r>
      <w:r w:rsidR="008223A9">
        <w:t>resource set.</w:t>
      </w:r>
    </w:p>
    <w:p w:rsidRPr="00525675" w:rsidR="00A8466E" w:rsidP="00BE3971" w:rsidRDefault="00A8466E" w14:paraId="73264328" w14:textId="09FBD7F2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 xml:space="preserve">School numeracy lead </w:t>
      </w:r>
      <w:r w:rsidR="00B22895">
        <w:rPr>
          <w:lang w:val="en-US"/>
        </w:rPr>
        <w:t xml:space="preserve">(Mrs. Bos) </w:t>
      </w:r>
      <w:r w:rsidRPr="00525675">
        <w:rPr>
          <w:lang w:val="en-US"/>
        </w:rPr>
        <w:t>attending Peter Liljedahl Pro-D and sharing with staff</w:t>
      </w:r>
    </w:p>
    <w:p w:rsidR="00525675" w:rsidP="00525675" w:rsidRDefault="00525675" w14:paraId="12093705" w14:textId="379B582F">
      <w:pPr>
        <w:pStyle w:val="ListParagraph"/>
        <w:numPr>
          <w:ilvl w:val="1"/>
          <w:numId w:val="2"/>
        </w:numPr>
        <w:rPr>
          <w:lang w:val="en-US"/>
        </w:rPr>
      </w:pPr>
      <w:r w:rsidRPr="00525675">
        <w:rPr>
          <w:lang w:val="en-US"/>
        </w:rPr>
        <w:t xml:space="preserve">School numeracy lead holding monthly meetings to discuss </w:t>
      </w:r>
      <w:r w:rsidR="0069544A">
        <w:rPr>
          <w:lang w:val="en-US"/>
        </w:rPr>
        <w:t>thinking classroom</w:t>
      </w:r>
      <w:r w:rsidRPr="00525675">
        <w:rPr>
          <w:lang w:val="en-US"/>
        </w:rPr>
        <w:t xml:space="preserve"> strategies with classroom teachers </w:t>
      </w:r>
    </w:p>
    <w:p w:rsidRPr="00525675" w:rsidR="0090064F" w:rsidP="0090064F" w:rsidRDefault="0090064F" w14:paraId="5D92CDED" w14:textId="77777777">
      <w:pPr>
        <w:pStyle w:val="ListParagraph"/>
        <w:ind w:left="1440"/>
        <w:rPr>
          <w:lang w:val="en-US"/>
        </w:rPr>
      </w:pPr>
    </w:p>
    <w:p w:rsidRPr="00947B17" w:rsidR="0042649D" w:rsidP="0042649D" w:rsidRDefault="00143455" w14:paraId="2528627B" w14:textId="25888491">
      <w:pPr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Human and Social Development</w:t>
      </w:r>
    </w:p>
    <w:p w:rsidRPr="00BE3971" w:rsidR="001E3521" w:rsidP="00BE3971" w:rsidRDefault="00A56570" w14:paraId="4EF0099E" w14:textId="4998FF1F">
      <w:pPr>
        <w:rPr>
          <w:b/>
          <w:bCs/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Pr="00947B17" w:rsidR="00724052">
        <w:rPr>
          <w:b/>
          <w:bCs/>
          <w:lang w:val="en-US"/>
        </w:rPr>
        <w:t>3</w:t>
      </w:r>
      <w:r w:rsidRPr="00947B17">
        <w:rPr>
          <w:b/>
          <w:bCs/>
          <w:lang w:val="en-US"/>
        </w:rPr>
        <w:t>:</w:t>
      </w:r>
      <w:r w:rsidR="005F7D14">
        <w:rPr>
          <w:lang w:val="en-US"/>
        </w:rPr>
        <w:t xml:space="preserve"> </w:t>
      </w:r>
      <w:r w:rsidRPr="00BC6B0A" w:rsidR="005F7D14">
        <w:rPr>
          <w:b/>
          <w:bCs/>
          <w:lang w:val="en-US"/>
        </w:rPr>
        <w:t>Students will feel welcome, safe and connected to their school</w:t>
      </w:r>
    </w:p>
    <w:p w:rsidRPr="00200B8C" w:rsidR="00200B8C" w:rsidP="00200B8C" w:rsidRDefault="00200B8C" w14:paraId="39A122C0" w14:textId="44C3975A">
      <w:pPr>
        <w:rPr>
          <w:i/>
          <w:iCs/>
          <w:lang w:val="en-US"/>
        </w:rPr>
      </w:pPr>
      <w:r w:rsidRPr="00200B8C">
        <w:rPr>
          <w:i/>
          <w:iCs/>
          <w:lang w:val="en-US"/>
        </w:rPr>
        <w:t>3. 1 Attendance</w:t>
      </w:r>
    </w:p>
    <w:p w:rsidRPr="00200B8C" w:rsidR="00200B8C" w:rsidP="00200B8C" w:rsidRDefault="00200B8C" w14:paraId="3ABC048E" w14:textId="6D392815">
      <w:pPr>
        <w:rPr>
          <w:u w:val="single"/>
          <w:lang w:val="en-US"/>
        </w:rPr>
      </w:pPr>
      <w:r w:rsidRPr="00200B8C">
        <w:rPr>
          <w:u w:val="single"/>
          <w:lang w:val="en-US"/>
        </w:rPr>
        <w:t>2019-2020 Results:</w:t>
      </w:r>
    </w:p>
    <w:p w:rsidR="00200B8C" w:rsidP="00200B8C" w:rsidRDefault="006A3138" w14:paraId="78BC8BCF" w14:textId="647BAABA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FE8EB45" wp14:editId="7765B805">
            <wp:simplePos x="0" y="0"/>
            <wp:positionH relativeFrom="margin">
              <wp:posOffset>471411</wp:posOffset>
            </wp:positionH>
            <wp:positionV relativeFrom="paragraph">
              <wp:posOffset>216909</wp:posOffset>
            </wp:positionV>
            <wp:extent cx="5330570" cy="2698316"/>
            <wp:effectExtent l="0" t="0" r="3810" b="6985"/>
            <wp:wrapNone/>
            <wp:docPr id="2" name="Picture 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570" cy="26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B8C" w:rsidR="00200B8C">
        <w:rPr>
          <w:lang w:val="en-US"/>
        </w:rPr>
        <w:t>Percentage of students attending 80% or greater end of June 2020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687A61" w:rsidTr="00687A61" w14:paraId="7BE3B0E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6850" w:rsidTr="00D76850" w14:paraId="58D42EB7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6850" w:rsidP="00D76850" w:rsidRDefault="00D76850" w14:paraId="65967A06" w14:textId="7CFF0042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  <w:tr w:rsidR="00D76850" w:rsidTr="00D76850" w14:paraId="1E793E1C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6850" w:rsidP="00D76850" w:rsidRDefault="00D76850" w14:paraId="45B07B5B" w14:textId="0CE5C24A">
                  <w:pPr>
                    <w:rPr>
                      <w:rFonts w:ascii="Segoe UI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</w:tbl>
          <w:p w:rsidR="00687A61" w:rsidRDefault="00687A61" w14:paraId="57553BCB" w14:textId="77317881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</w:p>
        </w:tc>
      </w:tr>
      <w:tr w:rsidR="00687A61" w:rsidTr="00687A61" w14:paraId="7A2047F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A61" w:rsidRDefault="00687A61" w14:paraId="64BE7877" w14:textId="426C6404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</w:p>
        </w:tc>
      </w:tr>
    </w:tbl>
    <w:p w:rsidR="006A3138" w:rsidP="00200B8C" w:rsidRDefault="006A3138" w14:paraId="4D071E3F" w14:textId="7BB03ADB">
      <w:pPr>
        <w:rPr>
          <w:u w:val="single"/>
          <w:lang w:val="en-US"/>
        </w:rPr>
      </w:pPr>
    </w:p>
    <w:p w:rsidR="006A3138" w:rsidP="00200B8C" w:rsidRDefault="006A3138" w14:paraId="6183C403" w14:textId="77777777">
      <w:pPr>
        <w:rPr>
          <w:u w:val="single"/>
          <w:lang w:val="en-US"/>
        </w:rPr>
      </w:pPr>
    </w:p>
    <w:p w:rsidR="006A3138" w:rsidP="00200B8C" w:rsidRDefault="006A3138" w14:paraId="008C4D10" w14:textId="636B148F">
      <w:pPr>
        <w:rPr>
          <w:u w:val="single"/>
          <w:lang w:val="en-US"/>
        </w:rPr>
      </w:pPr>
    </w:p>
    <w:p w:rsidR="006A3138" w:rsidP="00200B8C" w:rsidRDefault="006A3138" w14:paraId="22A4BA0F" w14:textId="77777777">
      <w:pPr>
        <w:rPr>
          <w:u w:val="single"/>
          <w:lang w:val="en-US"/>
        </w:rPr>
      </w:pPr>
    </w:p>
    <w:p w:rsidR="006A3138" w:rsidP="00200B8C" w:rsidRDefault="006A3138" w14:paraId="412D776F" w14:textId="48D9BEDB">
      <w:pPr>
        <w:rPr>
          <w:u w:val="single"/>
          <w:lang w:val="en-US"/>
        </w:rPr>
      </w:pPr>
    </w:p>
    <w:p w:rsidR="006A3138" w:rsidP="00200B8C" w:rsidRDefault="006A3138" w14:paraId="5B8F2A1A" w14:textId="3A737D38">
      <w:pPr>
        <w:rPr>
          <w:u w:val="single"/>
          <w:lang w:val="en-US"/>
        </w:rPr>
      </w:pPr>
    </w:p>
    <w:p w:rsidR="006A3138" w:rsidP="00200B8C" w:rsidRDefault="006A3138" w14:paraId="5716A905" w14:textId="319351A0">
      <w:pPr>
        <w:rPr>
          <w:u w:val="single"/>
          <w:lang w:val="en-US"/>
        </w:rPr>
      </w:pPr>
    </w:p>
    <w:p w:rsidR="006A3138" w:rsidP="00200B8C" w:rsidRDefault="006A3138" w14:paraId="273C7A9E" w14:textId="174F6FA3">
      <w:pPr>
        <w:rPr>
          <w:u w:val="single"/>
          <w:lang w:val="en-US"/>
        </w:rPr>
      </w:pPr>
    </w:p>
    <w:p w:rsidRPr="00200B8C" w:rsidR="00200B8C" w:rsidP="00200B8C" w:rsidRDefault="00200B8C" w14:paraId="4B7DAE78" w14:textId="6B2CC926">
      <w:pPr>
        <w:rPr>
          <w:u w:val="single"/>
          <w:lang w:val="en-US"/>
        </w:rPr>
      </w:pPr>
      <w:r w:rsidRPr="00200B8C">
        <w:rPr>
          <w:u w:val="single"/>
          <w:lang w:val="en-US"/>
        </w:rPr>
        <w:lastRenderedPageBreak/>
        <w:t>Goals and Focus Areas:</w:t>
      </w:r>
    </w:p>
    <w:p w:rsidR="00200B8C" w:rsidP="00200B8C" w:rsidRDefault="00200B8C" w14:paraId="40D524C2" w14:textId="50180B11">
      <w:pPr>
        <w:pStyle w:val="ListParagraph"/>
        <w:numPr>
          <w:ilvl w:val="0"/>
          <w:numId w:val="13"/>
        </w:numPr>
        <w:rPr>
          <w:lang w:val="en-US"/>
        </w:rPr>
      </w:pPr>
      <w:r w:rsidRPr="00200B8C">
        <w:rPr>
          <w:lang w:val="en-US"/>
        </w:rPr>
        <w:t>All students attending 80% or greater end of June 2021</w:t>
      </w:r>
    </w:p>
    <w:p w:rsidRPr="00200B8C" w:rsidR="00200B8C" w:rsidP="00200B8C" w:rsidRDefault="00200B8C" w14:paraId="1A4B32D4" w14:textId="77777777">
      <w:pPr>
        <w:rPr>
          <w:u w:val="single"/>
          <w:lang w:val="en-US"/>
        </w:rPr>
      </w:pPr>
      <w:r w:rsidRPr="00200B8C">
        <w:rPr>
          <w:u w:val="single"/>
          <w:lang w:val="en-US"/>
        </w:rPr>
        <w:t>Strategies and Structures</w:t>
      </w:r>
    </w:p>
    <w:p w:rsidRPr="00200B8C" w:rsidR="00200B8C" w:rsidP="00200B8C" w:rsidRDefault="00200B8C" w14:paraId="0FBFF743" w14:textId="034511AF">
      <w:pPr>
        <w:pStyle w:val="ListParagraph"/>
        <w:numPr>
          <w:ilvl w:val="0"/>
          <w:numId w:val="14"/>
        </w:numPr>
        <w:rPr>
          <w:lang w:val="en-US"/>
        </w:rPr>
      </w:pPr>
      <w:r w:rsidRPr="00200B8C">
        <w:rPr>
          <w:lang w:val="en-US"/>
        </w:rPr>
        <w:t>Actions for Enhancing Student Learning and Experience</w:t>
      </w:r>
    </w:p>
    <w:p w:rsidR="00200B8C" w:rsidP="00200B8C" w:rsidRDefault="00200B8C" w14:paraId="6A4606C1" w14:textId="423CAA78">
      <w:pPr>
        <w:pStyle w:val="ListParagraph"/>
        <w:numPr>
          <w:ilvl w:val="1"/>
          <w:numId w:val="14"/>
        </w:numPr>
        <w:rPr>
          <w:lang w:val="en-US"/>
        </w:rPr>
      </w:pPr>
      <w:r w:rsidRPr="00200B8C">
        <w:rPr>
          <w:lang w:val="en-US"/>
        </w:rPr>
        <w:t>Staff members will greet and welcome all students by name everyday</w:t>
      </w:r>
    </w:p>
    <w:p w:rsidR="00687A61" w:rsidP="00200B8C" w:rsidRDefault="00200B8C" w14:paraId="6E13DF68" w14:textId="77777777">
      <w:pPr>
        <w:pStyle w:val="ListParagraph"/>
        <w:numPr>
          <w:ilvl w:val="1"/>
          <w:numId w:val="14"/>
        </w:numPr>
        <w:rPr>
          <w:lang w:val="en-US"/>
        </w:rPr>
      </w:pPr>
      <w:r>
        <w:rPr>
          <w:lang w:val="en-US"/>
        </w:rPr>
        <w:t>M</w:t>
      </w:r>
      <w:r w:rsidRPr="00200B8C">
        <w:rPr>
          <w:lang w:val="en-US"/>
        </w:rPr>
        <w:t>onthly review of student attendance with all staff with commitment for follow up</w:t>
      </w:r>
    </w:p>
    <w:p w:rsidR="00687A61" w:rsidP="00200B8C" w:rsidRDefault="00200B8C" w14:paraId="5E0FEDFE" w14:textId="403239BE">
      <w:pPr>
        <w:pStyle w:val="ListParagraph"/>
        <w:numPr>
          <w:ilvl w:val="1"/>
          <w:numId w:val="14"/>
        </w:numPr>
        <w:rPr>
          <w:lang w:val="en-US"/>
        </w:rPr>
      </w:pPr>
      <w:r w:rsidRPr="00687A61">
        <w:rPr>
          <w:lang w:val="en-US"/>
        </w:rPr>
        <w:t>Regular positive communication with parents regarding school attendance</w:t>
      </w:r>
    </w:p>
    <w:p w:rsidR="00687A61" w:rsidP="00687A61" w:rsidRDefault="00687A61" w14:paraId="27453A59" w14:textId="77777777">
      <w:pPr>
        <w:pStyle w:val="ListParagraph"/>
        <w:ind w:left="1440"/>
        <w:rPr>
          <w:lang w:val="en-US"/>
        </w:rPr>
      </w:pPr>
    </w:p>
    <w:p w:rsidR="00687A61" w:rsidP="00687A61" w:rsidRDefault="00200B8C" w14:paraId="5597E9E6" w14:textId="77777777">
      <w:pPr>
        <w:pStyle w:val="ListParagraph"/>
        <w:numPr>
          <w:ilvl w:val="0"/>
          <w:numId w:val="14"/>
        </w:numPr>
        <w:rPr>
          <w:lang w:val="en-US"/>
        </w:rPr>
      </w:pPr>
      <w:r w:rsidRPr="00687A61">
        <w:rPr>
          <w:lang w:val="en-US"/>
        </w:rPr>
        <w:t>Actions for Enhancing Staff Capacity &amp; Learning</w:t>
      </w:r>
    </w:p>
    <w:p w:rsidR="00687A61" w:rsidP="00200B8C" w:rsidRDefault="00200B8C" w14:paraId="35F7583F" w14:textId="0ECFF80B">
      <w:pPr>
        <w:pStyle w:val="ListParagraph"/>
        <w:numPr>
          <w:ilvl w:val="1"/>
          <w:numId w:val="14"/>
        </w:numPr>
        <w:rPr>
          <w:lang w:val="en-US"/>
        </w:rPr>
      </w:pPr>
      <w:r w:rsidRPr="00687A61">
        <w:rPr>
          <w:lang w:val="en-US"/>
        </w:rPr>
        <w:t xml:space="preserve">MyEd training for </w:t>
      </w:r>
      <w:r w:rsidR="008223A9">
        <w:rPr>
          <w:lang w:val="en-US"/>
        </w:rPr>
        <w:t xml:space="preserve">teachers for </w:t>
      </w:r>
      <w:r w:rsidRPr="00687A61">
        <w:rPr>
          <w:lang w:val="en-US"/>
        </w:rPr>
        <w:t>proper attendance input</w:t>
      </w:r>
      <w:r w:rsidR="008223A9">
        <w:rPr>
          <w:lang w:val="en-US"/>
        </w:rPr>
        <w:t xml:space="preserve"> (November)</w:t>
      </w:r>
    </w:p>
    <w:p w:rsidRPr="008223A9" w:rsidR="00D76850" w:rsidP="00566621" w:rsidRDefault="008223A9" w14:paraId="6BDB2250" w14:textId="6164BB88">
      <w:pPr>
        <w:pStyle w:val="ListParagraph"/>
        <w:numPr>
          <w:ilvl w:val="1"/>
          <w:numId w:val="14"/>
        </w:numPr>
        <w:rPr>
          <w:lang w:val="en-US"/>
        </w:rPr>
      </w:pPr>
      <w:r>
        <w:rPr>
          <w:lang w:val="en-US"/>
        </w:rPr>
        <w:t>Regular c</w:t>
      </w:r>
      <w:r w:rsidR="005206BD">
        <w:rPr>
          <w:lang w:val="en-US"/>
        </w:rPr>
        <w:t>heck-ins with families</w:t>
      </w:r>
      <w:r>
        <w:rPr>
          <w:lang w:val="en-US"/>
        </w:rPr>
        <w:t xml:space="preserve"> </w:t>
      </w:r>
      <w:r w:rsidR="001305CF">
        <w:rPr>
          <w:lang w:val="en-US"/>
        </w:rPr>
        <w:t>by classroom teachers</w:t>
      </w:r>
    </w:p>
    <w:p w:rsidR="008223A9" w:rsidP="00AA3928" w:rsidRDefault="008223A9" w14:paraId="0410A1B3" w14:textId="1880D94C">
      <w:pPr>
        <w:rPr>
          <w:i/>
          <w:iCs/>
          <w:lang w:val="en-US"/>
        </w:rPr>
      </w:pPr>
    </w:p>
    <w:p w:rsidRPr="00DE426B" w:rsidR="0060168E" w:rsidP="00AA3928" w:rsidRDefault="00687A61" w14:paraId="082B352C" w14:textId="77EE17B6">
      <w:pPr>
        <w:rPr>
          <w:i/>
          <w:iCs/>
          <w:lang w:val="en-US"/>
        </w:rPr>
      </w:pPr>
      <w:r>
        <w:rPr>
          <w:i/>
          <w:iCs/>
          <w:lang w:val="en-US"/>
        </w:rPr>
        <w:t>3</w:t>
      </w:r>
      <w:r w:rsidRPr="00DE426B" w:rsidR="00E53287">
        <w:rPr>
          <w:i/>
          <w:iCs/>
          <w:lang w:val="en-US"/>
        </w:rPr>
        <w:t xml:space="preserve">.2 </w:t>
      </w:r>
      <w:r w:rsidRPr="00DE426B" w:rsidR="001E3521">
        <w:rPr>
          <w:i/>
          <w:iCs/>
          <w:lang w:val="en-US"/>
        </w:rPr>
        <w:t>Connection</w:t>
      </w:r>
    </w:p>
    <w:p w:rsidRPr="003A5524" w:rsidR="003A5524" w:rsidP="00AA3928" w:rsidRDefault="00947B17" w14:paraId="395B3432" w14:textId="528CCDCC">
      <w:pPr>
        <w:rPr>
          <w:u w:val="single"/>
          <w:lang w:val="en-US"/>
        </w:rPr>
      </w:pPr>
      <w:r>
        <w:rPr>
          <w:u w:val="single"/>
          <w:lang w:val="en-US"/>
        </w:rPr>
        <w:t xml:space="preserve">2019-2020 </w:t>
      </w:r>
      <w:r w:rsidRPr="003A5524" w:rsidR="003A5524">
        <w:rPr>
          <w:u w:val="single"/>
          <w:lang w:val="en-US"/>
        </w:rPr>
        <w:t>Results</w:t>
      </w:r>
    </w:p>
    <w:p w:rsidR="00AA3928" w:rsidP="001E3521" w:rsidRDefault="00AA3928" w14:paraId="2EE555B1" w14:textId="6741364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</w:t>
      </w:r>
      <w:r w:rsidR="00231227">
        <w:rPr>
          <w:lang w:val="en-US"/>
        </w:rPr>
        <w:t>ercentage of students in</w:t>
      </w:r>
      <w:r w:rsidR="0016064C">
        <w:rPr>
          <w:lang w:val="en-US"/>
        </w:rPr>
        <w:t xml:space="preserve"> grades 4 who</w:t>
      </w:r>
      <w:r w:rsidR="006C4077">
        <w:rPr>
          <w:lang w:val="en-US"/>
        </w:rPr>
        <w:t xml:space="preserve"> report</w:t>
      </w:r>
      <w:r w:rsidR="0016064C">
        <w:rPr>
          <w:lang w:val="en-US"/>
        </w:rPr>
        <w:t xml:space="preserve"> feel</w:t>
      </w:r>
      <w:r w:rsidR="006C4077">
        <w:rPr>
          <w:lang w:val="en-US"/>
        </w:rPr>
        <w:t>ing</w:t>
      </w:r>
      <w:r w:rsidR="0016064C">
        <w:rPr>
          <w:lang w:val="en-US"/>
        </w:rPr>
        <w:t xml:space="preserve"> welcome</w:t>
      </w:r>
      <w:r>
        <w:rPr>
          <w:lang w:val="en-US"/>
        </w:rPr>
        <w:t xml:space="preserve"> in</w:t>
      </w:r>
      <w:r w:rsidR="003A5524">
        <w:rPr>
          <w:lang w:val="en-US"/>
        </w:rPr>
        <w:t xml:space="preserve"> their school during 2019-2020</w:t>
      </w:r>
    </w:p>
    <w:tbl>
      <w:tblPr>
        <w:tblW w:w="14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0"/>
        <w:gridCol w:w="117"/>
      </w:tblGrid>
      <w:tr w:rsidR="009038F9" w:rsidTr="27A99B81" w14:paraId="71417EF1" w14:textId="77777777"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8F9" w:rsidRDefault="00D76B0A" w14:paraId="3B66C933" w14:textId="4BCD6FE2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  <w:r>
              <w:rPr>
                <w:noProof/>
              </w:rPr>
              <w:pict w14:anchorId="2975AE3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margin-left:237.1pt;margin-top:2.25pt;width:209.65pt;height:139.25pt;z-index:251667456;mso-position-horizontal-relative:text;mso-position-vertical-relative:text;mso-width-relative:page;mso-height-relative:page" type="#_x0000_t75">
                  <v:imagedata o:title="7833D22" r:id="rId21"/>
                </v:shape>
              </w:pict>
            </w:r>
            <w:r w:rsidRPr="009038F9" w:rsidR="009038F9">
              <w:rPr>
                <w:rFonts w:ascii="Segoe UI" w:hAnsi="Segoe UI" w:cs="Segoe UI"/>
                <w:noProof/>
                <w:color w:val="605E5C"/>
                <w:sz w:val="18"/>
                <w:szCs w:val="18"/>
              </w:rPr>
              <w:drawing>
                <wp:inline distT="0" distB="0" distL="0" distR="0" wp14:anchorId="2BC18DB9" wp14:editId="6097302D">
                  <wp:extent cx="2730635" cy="1813170"/>
                  <wp:effectExtent l="0" t="0" r="0" b="0"/>
                  <wp:docPr id="14" name="Picture 1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67" cy="183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8F9" w:rsidTr="27A99B81" w14:paraId="34B5ED7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8F9" w:rsidP="00D859F1" w:rsidRDefault="009038F9" w14:paraId="45AFC397" w14:textId="03A2A5DE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  <w:r>
              <w:rPr>
                <w:rFonts w:ascii="Segoe UI" w:hAnsi="Segoe UI" w:cs="Segoe UI"/>
                <w:color w:val="605E5C"/>
                <w:sz w:val="18"/>
                <w:szCs w:val="18"/>
              </w:rPr>
              <w:br/>
            </w:r>
          </w:p>
        </w:tc>
        <w:tc>
          <w:tcPr>
            <w:tcW w:w="0" w:type="auto"/>
            <w:tcMar/>
            <w:vAlign w:val="center"/>
          </w:tcPr>
          <w:p w:rsidR="009038F9" w:rsidP="00D859F1" w:rsidRDefault="009038F9" w14:paraId="02EF6302" w14:textId="77777777"/>
        </w:tc>
      </w:tr>
      <w:tr w:rsidR="009038F9" w:rsidTr="27A99B81" w14:paraId="44A3076E" w14:textId="6A9C7E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8F9" w:rsidP="009038F9" w:rsidRDefault="009038F9" w14:paraId="26FCA06C" w14:textId="188E33ED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</w:p>
        </w:tc>
        <w:tc>
          <w:tcPr>
            <w:tcW w:w="0" w:type="auto"/>
            <w:tcMar/>
            <w:vAlign w:val="center"/>
          </w:tcPr>
          <w:p w:rsidR="009038F9" w:rsidP="009038F9" w:rsidRDefault="009038F9" w14:paraId="10AF212B" w14:textId="52F630B9">
            <w:pPr>
              <w:rPr>
                <w:sz w:val="20"/>
                <w:szCs w:val="20"/>
              </w:rPr>
            </w:pPr>
          </w:p>
        </w:tc>
      </w:tr>
      <w:tr w:rsidR="009038F9" w:rsidTr="27A99B81" w14:paraId="3ED251F5" w14:textId="77777777"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8F9" w:rsidP="009038F9" w:rsidRDefault="009038F9" w14:paraId="6E9AAC56" w14:textId="028898A2">
            <w:pPr>
              <w:rPr>
                <w:rFonts w:ascii="Segoe UI" w:hAnsi="Segoe UI" w:cs="Segoe UI"/>
                <w:color w:val="605E5C"/>
                <w:sz w:val="18"/>
                <w:szCs w:val="18"/>
              </w:rPr>
            </w:pPr>
          </w:p>
        </w:tc>
      </w:tr>
    </w:tbl>
    <w:p w:rsidR="003A5524" w:rsidP="003A5524" w:rsidRDefault="00947B17" w14:paraId="53D1F76F" w14:textId="423297D5">
      <w:pPr>
        <w:rPr>
          <w:u w:val="single"/>
          <w:lang w:val="en-US"/>
        </w:rPr>
      </w:pPr>
      <w:r>
        <w:rPr>
          <w:u w:val="single"/>
          <w:lang w:val="en-US"/>
        </w:rPr>
        <w:t>Goals and Focus Areas</w:t>
      </w:r>
    </w:p>
    <w:p w:rsidRPr="009C531C" w:rsidR="009C531C" w:rsidP="009C531C" w:rsidRDefault="00FA0007" w14:paraId="506BBEC6" w14:textId="66A70541">
      <w:pPr>
        <w:pStyle w:val="ListParagraph"/>
        <w:numPr>
          <w:ilvl w:val="0"/>
          <w:numId w:val="11"/>
        </w:numPr>
        <w:rPr>
          <w:u w:val="single"/>
          <w:lang w:val="en-US"/>
        </w:rPr>
      </w:pPr>
      <w:r>
        <w:rPr>
          <w:lang w:val="en-US"/>
        </w:rPr>
        <w:t>Increase number of students in all grades feeling welcome</w:t>
      </w:r>
      <w:r w:rsidR="001305CF">
        <w:rPr>
          <w:lang w:val="en-US"/>
        </w:rPr>
        <w:t xml:space="preserve"> and connected to École Nesika Elementary</w:t>
      </w:r>
    </w:p>
    <w:p w:rsidRPr="009C531C" w:rsidR="009C531C" w:rsidP="009C531C" w:rsidRDefault="009C531C" w14:paraId="0E4E6322" w14:textId="755A0CF1">
      <w:pPr>
        <w:pStyle w:val="ListParagraph"/>
        <w:numPr>
          <w:ilvl w:val="0"/>
          <w:numId w:val="11"/>
        </w:numPr>
        <w:rPr>
          <w:sz w:val="18"/>
          <w:szCs w:val="18"/>
          <w:u w:val="single"/>
          <w:lang w:val="en-US"/>
        </w:rPr>
      </w:pPr>
      <w:r w:rsidRPr="009C531C">
        <w:rPr>
          <w:color w:val="000000"/>
        </w:rPr>
        <w:t xml:space="preserve">Increase the number of students in our school who always feel like they belong at </w:t>
      </w:r>
      <w:r w:rsidR="001305CF">
        <w:rPr>
          <w:color w:val="000000"/>
        </w:rPr>
        <w:t xml:space="preserve">our </w:t>
      </w:r>
      <w:r w:rsidRPr="009C531C">
        <w:rPr>
          <w:color w:val="000000"/>
        </w:rPr>
        <w:t>school</w:t>
      </w:r>
    </w:p>
    <w:p w:rsidR="003A5524" w:rsidP="003A5524" w:rsidRDefault="003A5524" w14:paraId="1353AC63" w14:textId="1A4087BC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</w:p>
    <w:p w:rsidR="003A5524" w:rsidP="003A5524" w:rsidRDefault="003A5524" w14:paraId="0C091E78" w14:textId="3FF0D6E9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</w:t>
      </w:r>
      <w:r w:rsidRPr="00947B17" w:rsidR="008845AB">
        <w:rPr>
          <w:lang w:val="en-US"/>
        </w:rPr>
        <w:t xml:space="preserve"> and Experience</w:t>
      </w:r>
    </w:p>
    <w:p w:rsidRPr="00FA0007" w:rsidR="00835E6D" w:rsidP="00835E6D" w:rsidRDefault="00835E6D" w14:paraId="6623D663" w14:textId="7777777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Increased connection throughout school to First Nations culture &amp; language – every class receiving at least one block of this learning every week</w:t>
      </w:r>
    </w:p>
    <w:p w:rsidR="00835E6D" w:rsidP="00835E6D" w:rsidRDefault="00835E6D" w14:paraId="3C90B373" w14:textId="7777777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Increased focus on place-based learning</w:t>
      </w:r>
    </w:p>
    <w:p w:rsidR="00835E6D" w:rsidP="00835E6D" w:rsidRDefault="00835E6D" w14:paraId="16412922" w14:textId="77777777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lastRenderedPageBreak/>
        <w:t>Increased focus on connecting to core competencies</w:t>
      </w:r>
    </w:p>
    <w:p w:rsidRPr="00BE3971" w:rsidR="009C531C" w:rsidP="00BE3971" w:rsidRDefault="00FA0007" w14:paraId="602F40D0" w14:textId="28294A08">
      <w:pPr>
        <w:pStyle w:val="ListParagraph"/>
        <w:numPr>
          <w:ilvl w:val="1"/>
          <w:numId w:val="2"/>
        </w:numPr>
        <w:rPr>
          <w:lang w:val="en-US"/>
        </w:rPr>
      </w:pPr>
      <w:r>
        <w:t>Positive n</w:t>
      </w:r>
      <w:r w:rsidR="0061235E">
        <w:t>ewsletter messages</w:t>
      </w:r>
      <w:r w:rsidR="00173B61">
        <w:t>, s</w:t>
      </w:r>
      <w:r w:rsidRPr="00BE3971" w:rsidR="009C531C">
        <w:rPr>
          <w:lang w:val="en-US"/>
        </w:rPr>
        <w:t>tudent incentive</w:t>
      </w:r>
      <w:r w:rsidR="008B0E3E">
        <w:rPr>
          <w:lang w:val="en-US"/>
        </w:rPr>
        <w:t>s</w:t>
      </w:r>
      <w:r w:rsidR="00173B61">
        <w:rPr>
          <w:lang w:val="en-US"/>
        </w:rPr>
        <w:t>, p</w:t>
      </w:r>
      <w:r w:rsidRPr="00BE3971" w:rsidR="009C531C">
        <w:rPr>
          <w:lang w:val="en-US"/>
        </w:rPr>
        <w:t>ositive class meetings</w:t>
      </w:r>
      <w:r w:rsidR="00173B61">
        <w:rPr>
          <w:lang w:val="en-US"/>
        </w:rPr>
        <w:t>, r</w:t>
      </w:r>
      <w:r w:rsidRPr="00BE3971" w:rsidR="009C531C">
        <w:rPr>
          <w:lang w:val="en-US"/>
        </w:rPr>
        <w:t>egular positive student recognition</w:t>
      </w:r>
      <w:r w:rsidR="00173B61">
        <w:rPr>
          <w:lang w:val="en-US"/>
        </w:rPr>
        <w:t xml:space="preserve">, </w:t>
      </w:r>
      <w:r w:rsidR="00A52D23">
        <w:rPr>
          <w:lang w:val="en-US"/>
        </w:rPr>
        <w:t xml:space="preserve">student leadership </w:t>
      </w:r>
      <w:r w:rsidR="00173B61">
        <w:rPr>
          <w:lang w:val="en-US"/>
        </w:rPr>
        <w:t>t</w:t>
      </w:r>
      <w:r w:rsidRPr="00BE3971" w:rsidR="009C531C">
        <w:rPr>
          <w:lang w:val="en-US"/>
        </w:rPr>
        <w:t>heme days</w:t>
      </w:r>
      <w:r w:rsidR="00173B61">
        <w:rPr>
          <w:lang w:val="en-US"/>
        </w:rPr>
        <w:t xml:space="preserve">, </w:t>
      </w:r>
      <w:r w:rsidRPr="00BE3971" w:rsidR="009C531C">
        <w:rPr>
          <w:lang w:val="en-US"/>
        </w:rPr>
        <w:t>positive calls home</w:t>
      </w:r>
    </w:p>
    <w:p w:rsidR="009C531C" w:rsidP="00DC6D48" w:rsidRDefault="009C531C" w14:paraId="659607B6" w14:textId="4597EDF9">
      <w:pPr>
        <w:pStyle w:val="ListParagraph"/>
        <w:numPr>
          <w:ilvl w:val="1"/>
          <w:numId w:val="2"/>
        </w:numPr>
        <w:rPr>
          <w:lang w:val="en-US"/>
        </w:rPr>
      </w:pPr>
      <w:r w:rsidRPr="009C531C">
        <w:rPr>
          <w:lang w:val="en-US"/>
        </w:rPr>
        <w:t>Personalized learning and regular support from all staff</w:t>
      </w:r>
    </w:p>
    <w:p w:rsidR="00E568F2" w:rsidP="00DC6D48" w:rsidRDefault="00E568F2" w14:paraId="7D0E404F" w14:textId="6B757D8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Continue building connections between French immersion and English classrooms</w:t>
      </w:r>
    </w:p>
    <w:p w:rsidR="003A5524" w:rsidP="003A5524" w:rsidRDefault="003A5524" w14:paraId="161B6715" w14:textId="0EC866AB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:rsidR="0079419F" w:rsidP="00FA0007" w:rsidRDefault="0079419F" w14:paraId="46BDB7FC" w14:textId="398C612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Expand </w:t>
      </w:r>
      <w:r w:rsidR="007E0E92">
        <w:rPr>
          <w:lang w:val="en-US"/>
        </w:rPr>
        <w:t>Student Satisfaction Survey</w:t>
      </w:r>
      <w:r w:rsidR="007462A9">
        <w:rPr>
          <w:lang w:val="en-US"/>
        </w:rPr>
        <w:t xml:space="preserve"> </w:t>
      </w:r>
      <w:r w:rsidR="00BD1864">
        <w:rPr>
          <w:lang w:val="en-US"/>
        </w:rPr>
        <w:t xml:space="preserve">for all students </w:t>
      </w:r>
      <w:r w:rsidR="007462A9">
        <w:rPr>
          <w:lang w:val="en-US"/>
        </w:rPr>
        <w:t>and discuss results</w:t>
      </w:r>
      <w:r w:rsidR="007E0E92">
        <w:rPr>
          <w:lang w:val="en-US"/>
        </w:rPr>
        <w:t xml:space="preserve"> </w:t>
      </w:r>
    </w:p>
    <w:p w:rsidR="00F7282C" w:rsidP="00FA0007" w:rsidRDefault="00E223B9" w14:paraId="4F6723A2" w14:textId="27B37C5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Highlight and celebrate </w:t>
      </w:r>
      <w:r w:rsidR="00835E6D">
        <w:rPr>
          <w:lang w:val="en-US"/>
        </w:rPr>
        <w:t xml:space="preserve">French immersion, </w:t>
      </w:r>
      <w:r>
        <w:rPr>
          <w:lang w:val="en-US"/>
        </w:rPr>
        <w:t xml:space="preserve">place-based learning and </w:t>
      </w:r>
      <w:r w:rsidR="00835E6D">
        <w:rPr>
          <w:lang w:val="en-US"/>
        </w:rPr>
        <w:t xml:space="preserve">First Nations </w:t>
      </w:r>
      <w:r>
        <w:rPr>
          <w:lang w:val="en-US"/>
        </w:rPr>
        <w:t xml:space="preserve">culture and language learning as it </w:t>
      </w:r>
      <w:r w:rsidR="00ED5C60">
        <w:rPr>
          <w:lang w:val="en-US"/>
        </w:rPr>
        <w:t>happens</w:t>
      </w:r>
      <w:r w:rsidR="00173B61">
        <w:rPr>
          <w:lang w:val="en-US"/>
        </w:rPr>
        <w:t xml:space="preserve"> using visible areas in the school and traditional and social media</w:t>
      </w:r>
    </w:p>
    <w:p w:rsidR="00FA0007" w:rsidP="00FA0007" w:rsidRDefault="00FA0007" w14:paraId="391774EE" w14:textId="2FFB473C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Staff </w:t>
      </w:r>
      <w:r w:rsidR="0002374A">
        <w:rPr>
          <w:lang w:val="en-US"/>
        </w:rPr>
        <w:t xml:space="preserve">continue to </w:t>
      </w:r>
      <w:r w:rsidR="00E223B9">
        <w:rPr>
          <w:lang w:val="en-US"/>
        </w:rPr>
        <w:t>explore</w:t>
      </w:r>
      <w:r w:rsidR="009C531C">
        <w:rPr>
          <w:lang w:val="en-US"/>
        </w:rPr>
        <w:t xml:space="preserve"> Self-Regulation (Shanker)</w:t>
      </w:r>
    </w:p>
    <w:p w:rsidRPr="00AA17F8" w:rsidR="003A5524" w:rsidP="00AA17F8" w:rsidRDefault="009C531C" w14:paraId="36486B93" w14:textId="55E8955F">
      <w:pPr>
        <w:pStyle w:val="ListParagraph"/>
        <w:numPr>
          <w:ilvl w:val="1"/>
          <w:numId w:val="2"/>
        </w:numPr>
        <w:rPr>
          <w:lang w:val="en-US"/>
        </w:rPr>
      </w:pPr>
      <w:r w:rsidRPr="009C531C">
        <w:rPr>
          <w:lang w:val="en-US"/>
        </w:rPr>
        <w:t>Continue to</w:t>
      </w:r>
      <w:r w:rsidR="00E223B9">
        <w:rPr>
          <w:lang w:val="en-US"/>
        </w:rPr>
        <w:t xml:space="preserve"> </w:t>
      </w:r>
      <w:r w:rsidRPr="009C531C">
        <w:rPr>
          <w:lang w:val="en-US"/>
        </w:rPr>
        <w:t>implement Trauma Informed Practices for all learners</w:t>
      </w:r>
    </w:p>
    <w:p w:rsidR="009B5239" w:rsidP="001F53B3" w:rsidRDefault="009B5239" w14:paraId="4DABAECA" w14:textId="77777777">
      <w:pPr>
        <w:pStyle w:val="ListParagraph"/>
        <w:ind w:left="0"/>
        <w:rPr>
          <w:b/>
          <w:bCs/>
          <w:sz w:val="28"/>
          <w:szCs w:val="28"/>
          <w:lang w:val="en-US"/>
        </w:rPr>
      </w:pPr>
    </w:p>
    <w:p w:rsidR="005C1D8F" w:rsidP="001F53B3" w:rsidRDefault="005C1D8F" w14:paraId="6062725A" w14:textId="02533883">
      <w:pPr>
        <w:pStyle w:val="ListParagraph"/>
        <w:ind w:left="0"/>
        <w:rPr>
          <w:b/>
          <w:bCs/>
          <w:sz w:val="28"/>
          <w:szCs w:val="28"/>
          <w:lang w:val="en-US"/>
        </w:rPr>
      </w:pPr>
      <w:r w:rsidRPr="005C1D8F">
        <w:rPr>
          <w:b/>
          <w:bCs/>
          <w:sz w:val="28"/>
          <w:szCs w:val="28"/>
          <w:lang w:val="en-US"/>
        </w:rPr>
        <w:t>School Team</w:t>
      </w:r>
      <w:r w:rsidR="00711D9E">
        <w:rPr>
          <w:b/>
          <w:bCs/>
          <w:sz w:val="28"/>
          <w:szCs w:val="28"/>
          <w:lang w:val="en-US"/>
        </w:rPr>
        <w:t xml:space="preserve"> Meeting</w:t>
      </w:r>
      <w:r w:rsidRPr="005C1D8F">
        <w:rPr>
          <w:b/>
          <w:bCs/>
          <w:sz w:val="28"/>
          <w:szCs w:val="28"/>
          <w:lang w:val="en-US"/>
        </w:rPr>
        <w:t xml:space="preserve"> Schedule</w:t>
      </w:r>
      <w:r>
        <w:rPr>
          <w:b/>
          <w:bCs/>
          <w:sz w:val="28"/>
          <w:szCs w:val="28"/>
          <w:lang w:val="en-US"/>
        </w:rPr>
        <w:t>:</w:t>
      </w:r>
    </w:p>
    <w:p w:rsidRPr="00D51B8A" w:rsidR="0090064F" w:rsidRDefault="0090064F" w14:paraId="78D00877" w14:textId="245074D7">
      <w:pPr>
        <w:rPr>
          <w:lang w:val="en-US"/>
        </w:rPr>
      </w:pPr>
      <w:r w:rsidRPr="004A6615">
        <w:rPr>
          <w:b/>
          <w:bCs/>
          <w:u w:val="single"/>
          <w:lang w:val="en-US"/>
        </w:rPr>
        <w:t>School Team</w:t>
      </w:r>
      <w:r w:rsidRPr="004A6615" w:rsidR="004A6615">
        <w:rPr>
          <w:b/>
          <w:bCs/>
          <w:u w:val="single"/>
          <w:lang w:val="en-US"/>
        </w:rPr>
        <w:t xml:space="preserve"> Project Leaders</w:t>
      </w:r>
      <w:r w:rsidRPr="004A6615">
        <w:rPr>
          <w:b/>
          <w:bCs/>
          <w:u w:val="single"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D51B8A">
        <w:rPr>
          <w:lang w:val="en-US"/>
        </w:rPr>
        <w:t xml:space="preserve">Mr. </w:t>
      </w:r>
      <w:r w:rsidRPr="00D51B8A" w:rsidR="004A6615">
        <w:rPr>
          <w:lang w:val="en-US"/>
        </w:rPr>
        <w:t xml:space="preserve">C. </w:t>
      </w:r>
      <w:r w:rsidRPr="00D51B8A">
        <w:rPr>
          <w:lang w:val="en-US"/>
        </w:rPr>
        <w:t>Williams</w:t>
      </w:r>
      <w:r w:rsidRPr="00D51B8A" w:rsidR="00D51B19">
        <w:rPr>
          <w:lang w:val="en-US"/>
        </w:rPr>
        <w:t xml:space="preserve"> (Principal), Mrs. </w:t>
      </w:r>
      <w:r w:rsidRPr="00D51B8A" w:rsidR="004A6615">
        <w:rPr>
          <w:lang w:val="en-US"/>
        </w:rPr>
        <w:t xml:space="preserve">H. </w:t>
      </w:r>
      <w:r w:rsidRPr="00D51B8A" w:rsidR="00D51B19">
        <w:rPr>
          <w:lang w:val="en-US"/>
        </w:rPr>
        <w:t xml:space="preserve">Zurak (Vice-Principal), Mrs. </w:t>
      </w:r>
      <w:r w:rsidRPr="00D51B8A" w:rsidR="004A6615">
        <w:rPr>
          <w:lang w:val="en-US"/>
        </w:rPr>
        <w:t xml:space="preserve">K. </w:t>
      </w:r>
      <w:r w:rsidRPr="00D51B8A" w:rsidR="00D51B19">
        <w:rPr>
          <w:lang w:val="en-US"/>
        </w:rPr>
        <w:t xml:space="preserve">Johnson (Learning Support/Resource and Literacy Lead Teacher), Mrs. </w:t>
      </w:r>
      <w:r w:rsidRPr="00D51B8A" w:rsidR="004A6615">
        <w:rPr>
          <w:lang w:val="en-US"/>
        </w:rPr>
        <w:t xml:space="preserve">A. </w:t>
      </w:r>
      <w:r w:rsidRPr="00D51B8A" w:rsidR="00D51B19">
        <w:rPr>
          <w:lang w:val="en-US"/>
        </w:rPr>
        <w:t xml:space="preserve">Bos (Professional Learning </w:t>
      </w:r>
      <w:r w:rsidRPr="00D51B8A" w:rsidR="004A6615">
        <w:rPr>
          <w:lang w:val="en-US"/>
        </w:rPr>
        <w:t>and Numeracy Lead Teacher) and Mme N. Ratko (French Immersion Lead Teacher)</w:t>
      </w:r>
    </w:p>
    <w:p w:rsidR="00C2020A" w:rsidRDefault="00DC3041" w14:paraId="4CCC04AD" w14:textId="77777777">
      <w:pPr>
        <w:rPr>
          <w:lang w:val="en-US"/>
        </w:rPr>
      </w:pPr>
      <w:r w:rsidRPr="009657AE">
        <w:rPr>
          <w:b/>
          <w:bCs/>
          <w:lang w:val="en-US"/>
        </w:rPr>
        <w:t>Sep-</w:t>
      </w:r>
      <w:r w:rsidR="00F96E4A">
        <w:rPr>
          <w:b/>
          <w:bCs/>
          <w:lang w:val="en-US"/>
        </w:rPr>
        <w:t>Nov</w:t>
      </w:r>
      <w:r w:rsidRPr="009657AE">
        <w:rPr>
          <w:b/>
          <w:bCs/>
          <w:lang w:val="en-US"/>
        </w:rPr>
        <w:t xml:space="preserve">: </w:t>
      </w:r>
      <w:r w:rsidRPr="009657AE" w:rsidR="00717789">
        <w:rPr>
          <w:lang w:val="en-US"/>
        </w:rPr>
        <w:t xml:space="preserve">Introduce updated school planning model.  </w:t>
      </w:r>
      <w:r w:rsidRPr="009657AE">
        <w:rPr>
          <w:lang w:val="en-US"/>
        </w:rPr>
        <w:t>Review results from 2019-2020 school year</w:t>
      </w:r>
      <w:r w:rsidRPr="009657AE" w:rsidR="00717789">
        <w:rPr>
          <w:lang w:val="en-US"/>
        </w:rPr>
        <w:t xml:space="preserve"> and fall assessments</w:t>
      </w:r>
      <w:r w:rsidRPr="009657AE">
        <w:rPr>
          <w:lang w:val="en-US"/>
        </w:rPr>
        <w:t xml:space="preserve"> as a staff.</w:t>
      </w:r>
      <w:r w:rsidRPr="009657AE" w:rsidR="00717789">
        <w:rPr>
          <w:lang w:val="en-US"/>
        </w:rPr>
        <w:t xml:space="preserve">  Identify student focus groups and strategies and document in school plan.</w:t>
      </w:r>
      <w:r w:rsidRPr="009657AE">
        <w:rPr>
          <w:lang w:val="en-US"/>
        </w:rPr>
        <w:t xml:space="preserve"> </w:t>
      </w:r>
    </w:p>
    <w:p w:rsidRPr="009657AE" w:rsidR="00DC3041" w:rsidP="003E3EEF" w:rsidRDefault="00C2020A" w14:paraId="7136034E" w14:textId="587E0020">
      <w:pPr>
        <w:ind w:left="720"/>
        <w:rPr>
          <w:lang w:val="en-US"/>
        </w:rPr>
      </w:pPr>
      <w:r>
        <w:rPr>
          <w:lang w:val="en-US"/>
        </w:rPr>
        <w:t>November: Assessment and Reporting teaching staff meeting to clarify vision, goals and school plan for assessment and reporting</w:t>
      </w:r>
      <w:r w:rsidR="003E3EEF">
        <w:rPr>
          <w:lang w:val="en-US"/>
        </w:rPr>
        <w:t xml:space="preserve">. </w:t>
      </w:r>
      <w:r w:rsidRPr="009657AE" w:rsidR="00DC3041">
        <w:rPr>
          <w:lang w:val="en-US"/>
        </w:rPr>
        <w:t xml:space="preserve"> </w:t>
      </w:r>
    </w:p>
    <w:p w:rsidRPr="009657AE" w:rsidR="00CB31F8" w:rsidRDefault="003E3EEF" w14:paraId="01B7AD0F" w14:textId="1D3DC6AD">
      <w:pPr>
        <w:rPr>
          <w:lang w:val="en-US"/>
        </w:rPr>
      </w:pPr>
      <w:r>
        <w:rPr>
          <w:b/>
          <w:bCs/>
          <w:lang w:val="en-US"/>
        </w:rPr>
        <w:t>Dec</w:t>
      </w:r>
      <w:r w:rsidRPr="009657AE" w:rsidR="00CB31F8">
        <w:rPr>
          <w:b/>
          <w:bCs/>
          <w:lang w:val="en-US"/>
        </w:rPr>
        <w:t xml:space="preserve">: </w:t>
      </w:r>
      <w:r w:rsidRPr="009657AE" w:rsidR="00CB31F8">
        <w:rPr>
          <w:lang w:val="en-US"/>
        </w:rPr>
        <w:t xml:space="preserve">Review term 1 report card data as a staff. Revisit focus areas of school plan.  Celebrate success and modify focus areas as required.  </w:t>
      </w:r>
    </w:p>
    <w:p w:rsidR="00CB31F8" w:rsidRDefault="00CB31F8" w14:paraId="74C45EC2" w14:textId="5A221CBD">
      <w:pPr>
        <w:rPr>
          <w:lang w:val="en-US"/>
        </w:rPr>
      </w:pPr>
      <w:r w:rsidRPr="009657AE">
        <w:rPr>
          <w:b/>
          <w:bCs/>
          <w:lang w:val="en-US"/>
        </w:rPr>
        <w:t xml:space="preserve">Jan-Feb: </w:t>
      </w:r>
      <w:r w:rsidRPr="009657AE">
        <w:rPr>
          <w:lang w:val="en-US"/>
        </w:rPr>
        <w:t>Review FSA data</w:t>
      </w:r>
      <w:r w:rsidRPr="009657AE" w:rsidR="00717789">
        <w:rPr>
          <w:lang w:val="en-US"/>
        </w:rPr>
        <w:t xml:space="preserve"> alongside report card marks and assessments (triangulation).  Celebrate successes and adjust strategies as required.</w:t>
      </w:r>
      <w:r w:rsidRPr="009657AE">
        <w:rPr>
          <w:lang w:val="en-US"/>
        </w:rPr>
        <w:t xml:space="preserve"> </w:t>
      </w:r>
    </w:p>
    <w:p w:rsidRPr="009657AE" w:rsidR="007F63CF" w:rsidP="00B229BB" w:rsidRDefault="007F63CF" w14:paraId="69B56D67" w14:textId="3C010693">
      <w:pPr>
        <w:ind w:left="720"/>
        <w:rPr>
          <w:lang w:val="en-US"/>
        </w:rPr>
      </w:pPr>
      <w:r>
        <w:rPr>
          <w:lang w:val="en-US"/>
        </w:rPr>
        <w:t xml:space="preserve">February: </w:t>
      </w:r>
      <w:r>
        <w:rPr>
          <w:lang w:val="en-US"/>
        </w:rPr>
        <w:t xml:space="preserve">Assessment and Reporting teaching staff meeting to </w:t>
      </w:r>
      <w:r w:rsidR="00B229BB">
        <w:rPr>
          <w:lang w:val="en-US"/>
        </w:rPr>
        <w:t xml:space="preserve">reinforce </w:t>
      </w:r>
      <w:r>
        <w:rPr>
          <w:lang w:val="en-US"/>
        </w:rPr>
        <w:t xml:space="preserve">vision, </w:t>
      </w:r>
      <w:r w:rsidR="00B229BB">
        <w:rPr>
          <w:lang w:val="en-US"/>
        </w:rPr>
        <w:t xml:space="preserve">re-visit </w:t>
      </w:r>
      <w:r>
        <w:rPr>
          <w:lang w:val="en-US"/>
        </w:rPr>
        <w:t xml:space="preserve">goals and school plan for assessment and reporting. </w:t>
      </w:r>
      <w:r w:rsidRPr="009657AE">
        <w:rPr>
          <w:lang w:val="en-US"/>
        </w:rPr>
        <w:t xml:space="preserve"> </w:t>
      </w:r>
    </w:p>
    <w:p w:rsidRPr="009657AE" w:rsidR="00CB31F8" w:rsidRDefault="00CB31F8" w14:paraId="5F908C2D" w14:textId="4DA7A709">
      <w:pPr>
        <w:rPr>
          <w:lang w:val="en-US"/>
        </w:rPr>
      </w:pPr>
      <w:r w:rsidRPr="009657AE">
        <w:rPr>
          <w:b/>
          <w:bCs/>
          <w:lang w:val="en-US"/>
        </w:rPr>
        <w:t>Mar-Apr:</w:t>
      </w:r>
      <w:r w:rsidRPr="009657AE">
        <w:rPr>
          <w:lang w:val="en-US"/>
        </w:rPr>
        <w:t xml:space="preserve"> Review term 2 report data as a staff.  Revisit focus areas of school plan.  Celebrate success and modify focus areas as required.  </w:t>
      </w:r>
    </w:p>
    <w:p w:rsidRPr="009657AE" w:rsidR="00CB31F8" w:rsidRDefault="00CB31F8" w14:paraId="550CE747" w14:textId="1BCFD0F1">
      <w:pPr>
        <w:rPr>
          <w:lang w:val="en-US"/>
        </w:rPr>
      </w:pPr>
      <w:r w:rsidRPr="009657AE">
        <w:rPr>
          <w:b/>
          <w:bCs/>
          <w:lang w:val="en-US"/>
        </w:rPr>
        <w:t xml:space="preserve">May-Jun: </w:t>
      </w:r>
      <w:r w:rsidRPr="009657AE">
        <w:rPr>
          <w:lang w:val="en-US"/>
        </w:rPr>
        <w:t>Complete district assessments including EPRA/DART and School Wide Write.  Review results and compare alignment with report card data collected for term 2.</w:t>
      </w:r>
      <w:r w:rsidRPr="009657AE" w:rsidR="00717789">
        <w:rPr>
          <w:lang w:val="en-US"/>
        </w:rPr>
        <w:t xml:space="preserve">  Review student learning survey results and plan response.</w:t>
      </w:r>
    </w:p>
    <w:p w:rsidRPr="006A3138" w:rsidR="00B229BB" w:rsidRDefault="00CB31F8" w14:paraId="7DEA7D9A" w14:textId="1D56F5B3">
      <w:pPr>
        <w:rPr>
          <w:lang w:val="en-US"/>
        </w:rPr>
      </w:pPr>
      <w:r w:rsidRPr="009657AE">
        <w:rPr>
          <w:b/>
          <w:bCs/>
          <w:lang w:val="en-US"/>
        </w:rPr>
        <w:t xml:space="preserve">Jun: </w:t>
      </w:r>
      <w:r w:rsidRPr="009657AE">
        <w:rPr>
          <w:lang w:val="en-US"/>
        </w:rPr>
        <w:t>Review all available data for school for 2020-2021 school year.</w:t>
      </w:r>
    </w:p>
    <w:p w:rsidRPr="009657AE" w:rsidR="00CB31F8" w:rsidRDefault="009657AE" w14:paraId="0478CAC0" w14:textId="0E66196F">
      <w:pPr>
        <w:rPr>
          <w:b/>
          <w:bCs/>
          <w:lang w:val="en-US"/>
        </w:rPr>
      </w:pPr>
      <w:r w:rsidRPr="009657AE">
        <w:rPr>
          <w:b/>
          <w:bCs/>
          <w:lang w:val="en-US"/>
        </w:rPr>
        <w:t>Ongoing:</w:t>
      </w:r>
    </w:p>
    <w:p w:rsidR="009657AE" w:rsidP="009657AE" w:rsidRDefault="009657AE" w14:paraId="34C8C1D8" w14:textId="3DC94DD5">
      <w:pPr>
        <w:pStyle w:val="ListParagraph"/>
        <w:numPr>
          <w:ilvl w:val="0"/>
          <w:numId w:val="12"/>
        </w:numPr>
        <w:rPr>
          <w:lang w:val="en-US"/>
        </w:rPr>
      </w:pPr>
      <w:r w:rsidRPr="009657AE">
        <w:rPr>
          <w:lang w:val="en-US"/>
        </w:rPr>
        <w:t>School Plan for Learner Success as standing item on staff meeting agenda</w:t>
      </w:r>
    </w:p>
    <w:p w:rsidRPr="00D51B8A" w:rsidR="00D51B8A" w:rsidP="009657AE" w:rsidRDefault="00D51B8A" w14:paraId="6EBBC841" w14:textId="4B460A4B">
      <w:pPr>
        <w:pStyle w:val="ListParagraph"/>
        <w:numPr>
          <w:ilvl w:val="0"/>
          <w:numId w:val="12"/>
        </w:numPr>
        <w:rPr>
          <w:lang w:val="en-US"/>
        </w:rPr>
      </w:pPr>
      <w:r w:rsidRPr="00D51B8A">
        <w:rPr>
          <w:lang w:val="en-US"/>
        </w:rPr>
        <w:t>School Team Project Leaders</w:t>
      </w:r>
      <w:r>
        <w:rPr>
          <w:lang w:val="en-US"/>
        </w:rPr>
        <w:t xml:space="preserve"> meet </w:t>
      </w:r>
      <w:r w:rsidR="00F427A9">
        <w:rPr>
          <w:lang w:val="en-US"/>
        </w:rPr>
        <w:t>monthly to compare alignment and report out</w:t>
      </w:r>
    </w:p>
    <w:p w:rsidR="009B5239" w:rsidP="00F427A9" w:rsidRDefault="00F96E4A" w14:paraId="6D6796B5" w14:textId="6F37FB78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Literacy and Numeracy groups meeting to review successes and challenges </w:t>
      </w:r>
    </w:p>
    <w:p w:rsidRPr="00F427A9" w:rsidR="00F427A9" w:rsidP="00F427A9" w:rsidRDefault="00F427A9" w14:paraId="51B72E04" w14:textId="77777777">
      <w:pPr>
        <w:pStyle w:val="ListParagraph"/>
        <w:rPr>
          <w:lang w:val="en-US"/>
        </w:rPr>
      </w:pPr>
    </w:p>
    <w:p w:rsidRPr="005C1D8F" w:rsidR="005C1D8F" w:rsidRDefault="005C1D8F" w14:paraId="68D95FE6" w14:textId="4E5D53E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Glossary:</w:t>
      </w:r>
    </w:p>
    <w:p w:rsidR="009657AE" w:rsidRDefault="009657AE" w14:paraId="73947942" w14:textId="4DDCD9F3">
      <w:pPr>
        <w:rPr>
          <w:lang w:val="en-US"/>
        </w:rPr>
      </w:pPr>
      <w:r>
        <w:rPr>
          <w:lang w:val="en-US"/>
        </w:rPr>
        <w:t>ELA – English Language Arts</w:t>
      </w:r>
    </w:p>
    <w:p w:rsidR="009657AE" w:rsidRDefault="009657AE" w14:paraId="2CA20C01" w14:textId="515C8DC7">
      <w:pPr>
        <w:rPr>
          <w:lang w:val="en-US"/>
        </w:rPr>
      </w:pPr>
      <w:r>
        <w:rPr>
          <w:lang w:val="en-US"/>
        </w:rPr>
        <w:t>EPRA / DART –</w:t>
      </w:r>
      <w:r w:rsidR="009F483B">
        <w:t>P</w:t>
      </w:r>
      <w:r w:rsidRPr="009F483B" w:rsidR="009F483B">
        <w:t>erformance-based reading assessments, designed in British Columbia, by cohorts of British Columbia educators, in response to teachers’ questions about how best to use assessment information to guide their reading instruction</w:t>
      </w:r>
      <w:r w:rsidR="009F483B">
        <w:t>.</w:t>
      </w:r>
    </w:p>
    <w:p w:rsidR="009F483B" w:rsidP="009F483B" w:rsidRDefault="009F483B" w14:paraId="6CB6CE81" w14:textId="4785B7C4">
      <w:pPr>
        <w:rPr>
          <w:lang w:val="en-US"/>
        </w:rPr>
      </w:pPr>
      <w:r>
        <w:rPr>
          <w:lang w:val="en-US"/>
        </w:rPr>
        <w:t xml:space="preserve">Faye Brownlie – </w:t>
      </w:r>
      <w:r>
        <w:t>O</w:t>
      </w:r>
      <w:r w:rsidRPr="009F483B">
        <w:t>ne of BC’s most sought after literacy and learning experts. She works in staff development in BC, nationally and internationally.</w:t>
      </w:r>
    </w:p>
    <w:p w:rsidR="009F483B" w:rsidRDefault="009F483B" w14:paraId="55BDC837" w14:textId="0D382F61">
      <w:pPr>
        <w:rPr>
          <w:lang w:val="en-US"/>
        </w:rPr>
      </w:pPr>
      <w:r>
        <w:rPr>
          <w:lang w:val="en-US"/>
        </w:rPr>
        <w:t xml:space="preserve">FESL – Framework for Enhancing Student Learning: Ministry </w:t>
      </w:r>
      <w:r w:rsidR="00AA3FA8">
        <w:rPr>
          <w:lang w:val="en-US"/>
        </w:rPr>
        <w:t>framework for ensuring shared commitment to improve student success, equity and inclusivity of learning outcomes for all students.</w:t>
      </w:r>
    </w:p>
    <w:p w:rsidR="009F483B" w:rsidRDefault="009F483B" w14:paraId="51734DCF" w14:textId="046FFE30">
      <w:pPr>
        <w:rPr>
          <w:lang w:val="en-US"/>
        </w:rPr>
      </w:pPr>
      <w:r>
        <w:rPr>
          <w:lang w:val="en-US"/>
        </w:rPr>
        <w:t>FSA – Foundation Skills Assessment: Provincial assessment at the grade 4 and 7 level for Reading, Writing, and Numeracy.</w:t>
      </w:r>
    </w:p>
    <w:p w:rsidR="009F483B" w:rsidRDefault="009F483B" w14:paraId="5FA5D6D5" w14:textId="57A9C2D3">
      <w:pPr>
        <w:rPr>
          <w:lang w:val="en-US"/>
        </w:rPr>
      </w:pPr>
      <w:r>
        <w:rPr>
          <w:lang w:val="en-US"/>
        </w:rPr>
        <w:t xml:space="preserve">SBT – School Based Team: </w:t>
      </w:r>
      <w:r w:rsidR="00AA3FA8">
        <w:t>A</w:t>
      </w:r>
      <w:r w:rsidRPr="00AA3FA8" w:rsidR="00AA3FA8">
        <w:t> team led by the principal that assists classroom teachers to develop and implement instructional and/or management strategies and to coordinate support resources for students</w:t>
      </w:r>
      <w:r w:rsidR="00AA3FA8">
        <w:t>.</w:t>
      </w:r>
    </w:p>
    <w:p w:rsidR="009657AE" w:rsidRDefault="009657AE" w14:paraId="28E10A93" w14:textId="46FFC52B">
      <w:pPr>
        <w:rPr>
          <w:lang w:val="en-US"/>
        </w:rPr>
      </w:pPr>
      <w:r>
        <w:rPr>
          <w:lang w:val="en-US"/>
        </w:rPr>
        <w:t xml:space="preserve">School Wide Write </w:t>
      </w:r>
      <w:r w:rsidR="006C4077">
        <w:rPr>
          <w:lang w:val="en-US"/>
        </w:rPr>
        <w:t>–</w:t>
      </w:r>
      <w:r>
        <w:rPr>
          <w:lang w:val="en-US"/>
        </w:rPr>
        <w:t xml:space="preserve"> </w:t>
      </w:r>
      <w:r w:rsidR="00AA3FA8">
        <w:rPr>
          <w:lang w:val="en-US"/>
        </w:rPr>
        <w:t>A SD 27 school-wide writing assessment completed by grades 1-9 every fall and spring.</w:t>
      </w:r>
    </w:p>
    <w:p w:rsidR="006C4077" w:rsidRDefault="006C4077" w14:paraId="3BF0AFE4" w14:textId="26A3FE08">
      <w:pPr>
        <w:rPr>
          <w:lang w:val="en-US"/>
        </w:rPr>
      </w:pPr>
      <w:r>
        <w:rPr>
          <w:lang w:val="en-US"/>
        </w:rPr>
        <w:t>Thinking Classrooms (Peter Liljedahl) –</w:t>
      </w:r>
      <w:r w:rsidR="009F483B">
        <w:rPr>
          <w:lang w:val="en-US"/>
        </w:rPr>
        <w:t xml:space="preserve">  Dr. Peter Liljedahl </w:t>
      </w:r>
      <w:r w:rsidRPr="009F483B" w:rsidR="009F483B">
        <w:t>is a Professor of Mathematics Education in the Faculty of Education and an associate member in the Department of Mathematics at Simon Fraser University in Vancouver, Canada.</w:t>
      </w:r>
      <w:r w:rsidR="009F483B">
        <w:t xml:space="preserve"> </w:t>
      </w:r>
      <w:r w:rsidR="00AA3FA8">
        <w:t xml:space="preserve"> A</w:t>
      </w:r>
      <w:r w:rsidR="009F483B">
        <w:t xml:space="preserve"> “T</w:t>
      </w:r>
      <w:r w:rsidRPr="009F483B" w:rsidR="009F483B">
        <w:t>hinking classroom</w:t>
      </w:r>
      <w:r w:rsidR="00AA3FA8">
        <w:t>”</w:t>
      </w:r>
      <w:r w:rsidRPr="009F483B" w:rsidR="009F483B">
        <w:t xml:space="preserve"> is a classroom that is not only conducive to thinking but also occasions thinking, a space that is inhabited by thinking individuals as well as individuals thinking collectively, learning together, and constructing knowledge and understanding through activity and discussion. It is a space wherein the teacher not only fosters thinking but also expects it, both implicitly and explicitly</w:t>
      </w:r>
      <w:r w:rsidR="00AA3FA8">
        <w:t>.</w:t>
      </w:r>
    </w:p>
    <w:p w:rsidRPr="00DC6D48" w:rsidR="006C4077" w:rsidRDefault="006C4077" w14:paraId="7A585907" w14:textId="77777777">
      <w:pPr>
        <w:rPr>
          <w:lang w:val="en-US"/>
        </w:rPr>
      </w:pPr>
    </w:p>
    <w:sectPr w:rsidRPr="00DC6D48" w:rsidR="006C407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0A" w:rsidP="003B4B57" w:rsidRDefault="00D76B0A" w14:paraId="5E83F734" w14:textId="77777777">
      <w:pPr>
        <w:spacing w:after="0" w:line="240" w:lineRule="auto"/>
      </w:pPr>
      <w:r>
        <w:separator/>
      </w:r>
    </w:p>
  </w:endnote>
  <w:endnote w:type="continuationSeparator" w:id="0">
    <w:p w:rsidR="00D76B0A" w:rsidP="003B4B57" w:rsidRDefault="00D76B0A" w14:paraId="71FD77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28BDB9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6B938B8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5D67A1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0A" w:rsidP="003B4B57" w:rsidRDefault="00D76B0A" w14:paraId="1A86164D" w14:textId="77777777">
      <w:pPr>
        <w:spacing w:after="0" w:line="240" w:lineRule="auto"/>
      </w:pPr>
      <w:r>
        <w:separator/>
      </w:r>
    </w:p>
  </w:footnote>
  <w:footnote w:type="continuationSeparator" w:id="0">
    <w:p w:rsidR="00D76B0A" w:rsidP="003B4B57" w:rsidRDefault="00D76B0A" w14:paraId="48F52B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5BF830C2" w14:textId="5CB80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75DCC7BF" w14:textId="1BF0C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57" w:rsidRDefault="003B4B57" w14:paraId="1404FB80" w14:textId="4D91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05BE0"/>
    <w:multiLevelType w:val="hybridMultilevel"/>
    <w:tmpl w:val="E132EC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B70D4"/>
    <w:multiLevelType w:val="hybridMultilevel"/>
    <w:tmpl w:val="371CBF2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37BD9"/>
    <w:multiLevelType w:val="hybridMultilevel"/>
    <w:tmpl w:val="67BE78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A6CF4"/>
    <w:multiLevelType w:val="hybridMultilevel"/>
    <w:tmpl w:val="6ECE3F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F747A2"/>
    <w:multiLevelType w:val="hybridMultilevel"/>
    <w:tmpl w:val="87C06AA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E34E2B"/>
    <w:multiLevelType w:val="hybridMultilevel"/>
    <w:tmpl w:val="8594F6C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237BA5"/>
    <w:multiLevelType w:val="hybridMultilevel"/>
    <w:tmpl w:val="862CE37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C77937"/>
    <w:multiLevelType w:val="hybridMultilevel"/>
    <w:tmpl w:val="9D32F7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98407B"/>
    <w:multiLevelType w:val="hybridMultilevel"/>
    <w:tmpl w:val="5998A26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500302"/>
    <w:multiLevelType w:val="hybridMultilevel"/>
    <w:tmpl w:val="54C4443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4E14F2"/>
    <w:multiLevelType w:val="hybridMultilevel"/>
    <w:tmpl w:val="5BE6FC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923089"/>
    <w:multiLevelType w:val="hybridMultilevel"/>
    <w:tmpl w:val="80D26AD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345AF5"/>
    <w:multiLevelType w:val="hybridMultilevel"/>
    <w:tmpl w:val="22AEAEC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6428E2"/>
    <w:multiLevelType w:val="hybridMultilevel"/>
    <w:tmpl w:val="29F2880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4"/>
  </w: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6"/>
  </w:num>
  <w:num w:numId="13">
    <w:abstractNumId w:val="12"/>
  </w:num>
  <w:num w:numId="14">
    <w:abstractNumId w:val="2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6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C"/>
    <w:rsid w:val="000229A9"/>
    <w:rsid w:val="0002374A"/>
    <w:rsid w:val="00045083"/>
    <w:rsid w:val="00094BB2"/>
    <w:rsid w:val="000A55E0"/>
    <w:rsid w:val="000B3F17"/>
    <w:rsid w:val="000B4A74"/>
    <w:rsid w:val="000C1966"/>
    <w:rsid w:val="000F16F6"/>
    <w:rsid w:val="00102111"/>
    <w:rsid w:val="00110C3E"/>
    <w:rsid w:val="001305CF"/>
    <w:rsid w:val="00143455"/>
    <w:rsid w:val="0016064C"/>
    <w:rsid w:val="00173B61"/>
    <w:rsid w:val="001B134E"/>
    <w:rsid w:val="001B1712"/>
    <w:rsid w:val="001B4871"/>
    <w:rsid w:val="001E25D1"/>
    <w:rsid w:val="001E3521"/>
    <w:rsid w:val="001F53B3"/>
    <w:rsid w:val="00200B8C"/>
    <w:rsid w:val="00231227"/>
    <w:rsid w:val="00242DDD"/>
    <w:rsid w:val="00247FBF"/>
    <w:rsid w:val="00253307"/>
    <w:rsid w:val="00257050"/>
    <w:rsid w:val="002642FA"/>
    <w:rsid w:val="00291E70"/>
    <w:rsid w:val="002A5FAE"/>
    <w:rsid w:val="002C3811"/>
    <w:rsid w:val="002E6FED"/>
    <w:rsid w:val="00325F12"/>
    <w:rsid w:val="00331707"/>
    <w:rsid w:val="00332393"/>
    <w:rsid w:val="003672A5"/>
    <w:rsid w:val="0038746F"/>
    <w:rsid w:val="003A5524"/>
    <w:rsid w:val="003B4B57"/>
    <w:rsid w:val="003C13AD"/>
    <w:rsid w:val="003D4491"/>
    <w:rsid w:val="003E3EEF"/>
    <w:rsid w:val="00424BED"/>
    <w:rsid w:val="0042649D"/>
    <w:rsid w:val="00433D70"/>
    <w:rsid w:val="00435D9E"/>
    <w:rsid w:val="00450CB7"/>
    <w:rsid w:val="004830A2"/>
    <w:rsid w:val="004A6615"/>
    <w:rsid w:val="004C2D64"/>
    <w:rsid w:val="00511BD7"/>
    <w:rsid w:val="00517BB6"/>
    <w:rsid w:val="005206BD"/>
    <w:rsid w:val="00525675"/>
    <w:rsid w:val="00566621"/>
    <w:rsid w:val="005A236D"/>
    <w:rsid w:val="005C1D8F"/>
    <w:rsid w:val="005F7D14"/>
    <w:rsid w:val="0060168E"/>
    <w:rsid w:val="0061235E"/>
    <w:rsid w:val="00660A0D"/>
    <w:rsid w:val="00664380"/>
    <w:rsid w:val="006733F7"/>
    <w:rsid w:val="00675581"/>
    <w:rsid w:val="006822F3"/>
    <w:rsid w:val="00687A61"/>
    <w:rsid w:val="0069544A"/>
    <w:rsid w:val="006A3138"/>
    <w:rsid w:val="006C4077"/>
    <w:rsid w:val="006C6D0F"/>
    <w:rsid w:val="006E0BBB"/>
    <w:rsid w:val="006F0FAB"/>
    <w:rsid w:val="00705C7A"/>
    <w:rsid w:val="00711D9E"/>
    <w:rsid w:val="00717789"/>
    <w:rsid w:val="00723A31"/>
    <w:rsid w:val="00724052"/>
    <w:rsid w:val="00740758"/>
    <w:rsid w:val="007462A9"/>
    <w:rsid w:val="007648FA"/>
    <w:rsid w:val="007657BC"/>
    <w:rsid w:val="0077725A"/>
    <w:rsid w:val="0079419F"/>
    <w:rsid w:val="007C02ED"/>
    <w:rsid w:val="007E0E92"/>
    <w:rsid w:val="007E6C5D"/>
    <w:rsid w:val="007F63CF"/>
    <w:rsid w:val="008223A9"/>
    <w:rsid w:val="00827D42"/>
    <w:rsid w:val="00835E6D"/>
    <w:rsid w:val="008509BE"/>
    <w:rsid w:val="00880BE9"/>
    <w:rsid w:val="008845AB"/>
    <w:rsid w:val="00892F05"/>
    <w:rsid w:val="008B0E3E"/>
    <w:rsid w:val="0090064F"/>
    <w:rsid w:val="009038F9"/>
    <w:rsid w:val="00905CD7"/>
    <w:rsid w:val="00906273"/>
    <w:rsid w:val="00912C17"/>
    <w:rsid w:val="00934E0C"/>
    <w:rsid w:val="009443AB"/>
    <w:rsid w:val="00947B17"/>
    <w:rsid w:val="009613AD"/>
    <w:rsid w:val="009633B4"/>
    <w:rsid w:val="009657AE"/>
    <w:rsid w:val="00971F1F"/>
    <w:rsid w:val="00980946"/>
    <w:rsid w:val="00980C23"/>
    <w:rsid w:val="009A01B5"/>
    <w:rsid w:val="009B073F"/>
    <w:rsid w:val="009B5239"/>
    <w:rsid w:val="009C4ECB"/>
    <w:rsid w:val="009C531C"/>
    <w:rsid w:val="009F11F1"/>
    <w:rsid w:val="009F3170"/>
    <w:rsid w:val="009F396C"/>
    <w:rsid w:val="009F483B"/>
    <w:rsid w:val="00A52B76"/>
    <w:rsid w:val="00A52D23"/>
    <w:rsid w:val="00A56570"/>
    <w:rsid w:val="00A66A67"/>
    <w:rsid w:val="00A776F8"/>
    <w:rsid w:val="00A80663"/>
    <w:rsid w:val="00A843B2"/>
    <w:rsid w:val="00A8466E"/>
    <w:rsid w:val="00AA17F8"/>
    <w:rsid w:val="00AA3928"/>
    <w:rsid w:val="00AA3FA8"/>
    <w:rsid w:val="00AB02DE"/>
    <w:rsid w:val="00AE669C"/>
    <w:rsid w:val="00B01466"/>
    <w:rsid w:val="00B06B7F"/>
    <w:rsid w:val="00B14D8B"/>
    <w:rsid w:val="00B22895"/>
    <w:rsid w:val="00B229BB"/>
    <w:rsid w:val="00B23446"/>
    <w:rsid w:val="00B37A6F"/>
    <w:rsid w:val="00B52726"/>
    <w:rsid w:val="00B57A8B"/>
    <w:rsid w:val="00B73360"/>
    <w:rsid w:val="00BA6684"/>
    <w:rsid w:val="00BC6B0A"/>
    <w:rsid w:val="00BD1864"/>
    <w:rsid w:val="00BE27C5"/>
    <w:rsid w:val="00BE3971"/>
    <w:rsid w:val="00C2020A"/>
    <w:rsid w:val="00C30579"/>
    <w:rsid w:val="00C52F18"/>
    <w:rsid w:val="00C73A5D"/>
    <w:rsid w:val="00C879DD"/>
    <w:rsid w:val="00C95B37"/>
    <w:rsid w:val="00CB0D11"/>
    <w:rsid w:val="00CB10D9"/>
    <w:rsid w:val="00CB31F8"/>
    <w:rsid w:val="00CC1442"/>
    <w:rsid w:val="00CD35A5"/>
    <w:rsid w:val="00CF63C9"/>
    <w:rsid w:val="00D51B19"/>
    <w:rsid w:val="00D51B8A"/>
    <w:rsid w:val="00D6438A"/>
    <w:rsid w:val="00D7349D"/>
    <w:rsid w:val="00D76850"/>
    <w:rsid w:val="00D76B0A"/>
    <w:rsid w:val="00D86075"/>
    <w:rsid w:val="00D95D06"/>
    <w:rsid w:val="00D97EF7"/>
    <w:rsid w:val="00DC048C"/>
    <w:rsid w:val="00DC3041"/>
    <w:rsid w:val="00DC6D48"/>
    <w:rsid w:val="00DE426B"/>
    <w:rsid w:val="00DE4EEF"/>
    <w:rsid w:val="00E03D43"/>
    <w:rsid w:val="00E223B9"/>
    <w:rsid w:val="00E355FF"/>
    <w:rsid w:val="00E53287"/>
    <w:rsid w:val="00E568F2"/>
    <w:rsid w:val="00E63B2D"/>
    <w:rsid w:val="00EA684A"/>
    <w:rsid w:val="00EB4A02"/>
    <w:rsid w:val="00EC33AF"/>
    <w:rsid w:val="00ED3A00"/>
    <w:rsid w:val="00ED5C60"/>
    <w:rsid w:val="00EF4CFA"/>
    <w:rsid w:val="00F15F39"/>
    <w:rsid w:val="00F27E5A"/>
    <w:rsid w:val="00F42155"/>
    <w:rsid w:val="00F427A9"/>
    <w:rsid w:val="00F44BCC"/>
    <w:rsid w:val="00F7282C"/>
    <w:rsid w:val="00F81A24"/>
    <w:rsid w:val="00F96E4A"/>
    <w:rsid w:val="00FA0007"/>
    <w:rsid w:val="00FE1920"/>
    <w:rsid w:val="0264AE8B"/>
    <w:rsid w:val="0306CAB5"/>
    <w:rsid w:val="03361D26"/>
    <w:rsid w:val="0528D2B6"/>
    <w:rsid w:val="05295EBD"/>
    <w:rsid w:val="05757DA7"/>
    <w:rsid w:val="075CF50B"/>
    <w:rsid w:val="079D7A62"/>
    <w:rsid w:val="082A5520"/>
    <w:rsid w:val="08D3F00F"/>
    <w:rsid w:val="0CE068F0"/>
    <w:rsid w:val="0F832E32"/>
    <w:rsid w:val="113AC360"/>
    <w:rsid w:val="12D693C1"/>
    <w:rsid w:val="1754319E"/>
    <w:rsid w:val="1778E31A"/>
    <w:rsid w:val="18FAF488"/>
    <w:rsid w:val="1D75340E"/>
    <w:rsid w:val="1E29A180"/>
    <w:rsid w:val="20A0B965"/>
    <w:rsid w:val="22D38F2E"/>
    <w:rsid w:val="27A99B81"/>
    <w:rsid w:val="280FD947"/>
    <w:rsid w:val="2B226912"/>
    <w:rsid w:val="33DD75EB"/>
    <w:rsid w:val="34D7AF3A"/>
    <w:rsid w:val="3943FA89"/>
    <w:rsid w:val="46C691B5"/>
    <w:rsid w:val="473DE9FC"/>
    <w:rsid w:val="474F6512"/>
    <w:rsid w:val="4A2F3CC7"/>
    <w:rsid w:val="4C7956DF"/>
    <w:rsid w:val="4DD3E038"/>
    <w:rsid w:val="4E2142AB"/>
    <w:rsid w:val="4FD5249C"/>
    <w:rsid w:val="50D9D772"/>
    <w:rsid w:val="54F040AF"/>
    <w:rsid w:val="5815CECE"/>
    <w:rsid w:val="5AAE9D28"/>
    <w:rsid w:val="5C5A9BAF"/>
    <w:rsid w:val="5D3268AB"/>
    <w:rsid w:val="5F13463D"/>
    <w:rsid w:val="623D847D"/>
    <w:rsid w:val="6569B322"/>
    <w:rsid w:val="66EFECFA"/>
    <w:rsid w:val="6E3033FD"/>
    <w:rsid w:val="769B0262"/>
    <w:rsid w:val="7886B62D"/>
    <w:rsid w:val="7A4D6681"/>
    <w:rsid w:val="7B5B8B3F"/>
    <w:rsid w:val="7D2B26F8"/>
    <w:rsid w:val="7EE9D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CCD2"/>
  <w15:chartTrackingRefBased/>
  <w15:docId w15:val="{B1C578A6-A931-4E5F-B216-7BEC6C5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BC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4B57"/>
  </w:style>
  <w:style w:type="paragraph" w:styleId="Footer">
    <w:name w:val="footer"/>
    <w:basedOn w:val="Normal"/>
    <w:link w:val="Foot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4B57"/>
  </w:style>
  <w:style w:type="character" w:styleId="Heading1Char" w:customStyle="1">
    <w:name w:val="Heading 1 Char"/>
    <w:basedOn w:val="DefaultParagraphFont"/>
    <w:link w:val="Heading1"/>
    <w:uiPriority w:val="9"/>
    <w:rsid w:val="00F44BCC"/>
    <w:rPr>
      <w:rFonts w:ascii="Times New Roman" w:hAnsi="Times New Roman" w:eastAsia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unhideWhenUsed/>
    <w:rsid w:val="00F44B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A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image" Target="media/image7.png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image" Target="media/image9.png" Id="rId23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openxmlformats.org/officeDocument/2006/relationships/hyperlink" Target="https://app.powerbi.com/MobileRedirect.html?action=OpenReport&amp;reportObjectId=ea9201b2-e246-4dfd-98bc-c5cb08a5a8b9&amp;ctid=cd3e0f2b-7e0a-4b77-b993-9515b2635a20&amp;reportPage=ReportSection7efb0b452ed2c0ae92d9&amp;pbi_source=copyvisualimage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hyperlink" Target="https://app.powerbi.com/MobileRedirect.html?action=OpenReport&amp;reportObjectId=ea9201b2-e246-4dfd-98bc-c5cb08a5a8b9&amp;ctid=cd3e0f2b-7e0a-4b77-b993-9515b2635a20&amp;reportPage=ReportSectiond4177e193279edd06fc9&amp;pbi_source=copyvisualimage" TargetMode="External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image" Target="/media/imagea.png" Id="R94e4e2fc8c494b4b" /><Relationship Type="http://schemas.openxmlformats.org/officeDocument/2006/relationships/hyperlink" Target="https://app.powerbi.com/MobileRedirect.html?action=OpenReport&amp;reportObjectId=ea9201b2-e246-4dfd-98bc-c5cb08a5a8b9&amp;ctid=cd3e0f2b-7e0a-4b77-b993-9515b2635a20&amp;reportPage=ReportSectionbe6330051108e62f3c86&amp;pbi_source=copyvisualimage" TargetMode="External" Id="Rd2e4e5ee162b4091" /><Relationship Type="http://schemas.openxmlformats.org/officeDocument/2006/relationships/image" Target="/media/imageb.png" Id="R0b07a60eb40e4c4f" /><Relationship Type="http://schemas.openxmlformats.org/officeDocument/2006/relationships/hyperlink" Target="https://app.powerbi.com/MobileRedirect.html?action=OpenReport&amp;reportObjectId=ea9201b2-e246-4dfd-98bc-c5cb08a5a8b9&amp;ctid=cd3e0f2b-7e0a-4b77-b993-9515b2635a20&amp;reportPage=ReportSection2d723db0ab9d329b093d&amp;pbi_source=copyvisualimage" TargetMode="External" Id="R8c391185a0fe42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CD7F91675F04886D32262174D8C74" ma:contentTypeVersion="13" ma:contentTypeDescription="Create a new document." ma:contentTypeScope="" ma:versionID="ea163c39cac959a77553c1218ad0b88f">
  <xsd:schema xmlns:xsd="http://www.w3.org/2001/XMLSchema" xmlns:xs="http://www.w3.org/2001/XMLSchema" xmlns:p="http://schemas.microsoft.com/office/2006/metadata/properties" xmlns:ns2="db9529ea-b275-4c07-bccb-0a82137e22c6" xmlns:ns3="443cae41-8cc2-42a5-bb88-767666ceee1e" targetNamespace="http://schemas.microsoft.com/office/2006/metadata/properties" ma:root="true" ma:fieldsID="851e01f29af58be0cf490b778bf6c3a3" ns2:_="" ns3:_="">
    <xsd:import namespace="db9529ea-b275-4c07-bccb-0a82137e22c6"/>
    <xsd:import namespace="443cae41-8cc2-42a5-bb88-767666ce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529ea-b275-4c07-bccb-0a82137e2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cae41-8cc2-42a5-bb88-767666cee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B54D-7EBF-4BA0-9D1D-E4FDB362623D}"/>
</file>

<file path=customXml/itemProps2.xml><?xml version="1.0" encoding="utf-8"?>
<ds:datastoreItem xmlns:ds="http://schemas.openxmlformats.org/officeDocument/2006/customXml" ds:itemID="{79F025E9-FEFE-4BDD-B2BC-9CE5B98EE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C1BC-94A9-417C-B34F-46D2D74854A1}">
  <ds:schemaRefs>
    <ds:schemaRef ds:uri="http://schemas.microsoft.com/office/2006/metadata/properties"/>
    <ds:schemaRef ds:uri="http://schemas.microsoft.com/office/infopath/2007/PartnerControls"/>
    <ds:schemaRef ds:uri="2f3f7ea0-8a9c-4c84-bb0c-f1e6f291ff53"/>
  </ds:schemaRefs>
</ds:datastoreItem>
</file>

<file path=customXml/itemProps4.xml><?xml version="1.0" encoding="utf-8"?>
<ds:datastoreItem xmlns:ds="http://schemas.openxmlformats.org/officeDocument/2006/customXml" ds:itemID="{6D293961-AAEC-4089-AFFC-6CDF161949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cameron</dc:creator>
  <cp:keywords/>
  <dc:description/>
  <cp:lastModifiedBy>holly zurak</cp:lastModifiedBy>
  <cp:revision>52</cp:revision>
  <dcterms:created xsi:type="dcterms:W3CDTF">2020-11-04T23:01:00Z</dcterms:created>
  <dcterms:modified xsi:type="dcterms:W3CDTF">2020-11-20T17:18:55Z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0x01010042ECD7F91675F04886D32262174D8C74</vt:lpwstr>
  </property>
</Properties>
</file>